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18" w:rsidRDefault="00B402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0218" w:rsidRDefault="00B40218">
      <w:pPr>
        <w:pStyle w:val="ConsPlusNormal"/>
        <w:ind w:firstLine="540"/>
        <w:jc w:val="both"/>
        <w:outlineLvl w:val="0"/>
      </w:pPr>
    </w:p>
    <w:p w:rsidR="00B40218" w:rsidRDefault="00B40218">
      <w:pPr>
        <w:pStyle w:val="ConsPlusNormal"/>
        <w:outlineLvl w:val="0"/>
      </w:pPr>
      <w:r>
        <w:t>Зарегистрировано в Минюсте России 18 ноября 2015 г. N 39755</w:t>
      </w:r>
    </w:p>
    <w:p w:rsidR="00B40218" w:rsidRDefault="00B402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40218" w:rsidRDefault="00B40218">
      <w:pPr>
        <w:pStyle w:val="ConsPlusTitle"/>
        <w:jc w:val="center"/>
      </w:pPr>
    </w:p>
    <w:p w:rsidR="00B40218" w:rsidRDefault="00B40218">
      <w:pPr>
        <w:pStyle w:val="ConsPlusTitle"/>
        <w:jc w:val="center"/>
      </w:pPr>
      <w:r>
        <w:t>ПРИКАЗ</w:t>
      </w:r>
    </w:p>
    <w:p w:rsidR="00B40218" w:rsidRDefault="00B40218">
      <w:pPr>
        <w:pStyle w:val="ConsPlusTitle"/>
        <w:jc w:val="center"/>
      </w:pPr>
      <w:r>
        <w:t>от 22 сентября 2015 г. N 669</w:t>
      </w:r>
    </w:p>
    <w:p w:rsidR="00B40218" w:rsidRDefault="00B40218">
      <w:pPr>
        <w:pStyle w:val="ConsPlusTitle"/>
        <w:jc w:val="center"/>
      </w:pPr>
    </w:p>
    <w:p w:rsidR="00B40218" w:rsidRDefault="00B40218">
      <w:pPr>
        <w:pStyle w:val="ConsPlusTitle"/>
        <w:jc w:val="center"/>
      </w:pPr>
      <w:r>
        <w:t>ОБ УТВЕРЖДЕНИИ МЕТОДИКИ</w:t>
      </w:r>
    </w:p>
    <w:p w:rsidR="00B40218" w:rsidRDefault="00B40218">
      <w:pPr>
        <w:pStyle w:val="ConsPlusTitle"/>
        <w:jc w:val="center"/>
      </w:pPr>
      <w:r>
        <w:t>ОЦЕНКИ СТАНДАРТНЫХ ИЗДЕРЖЕК СУБЪЕКТОВ ПРЕДПРИНИМАТЕЛЬСКОЙ</w:t>
      </w:r>
    </w:p>
    <w:p w:rsidR="00B40218" w:rsidRDefault="00B40218">
      <w:pPr>
        <w:pStyle w:val="ConsPlusTitle"/>
        <w:jc w:val="center"/>
      </w:pPr>
      <w:r>
        <w:t xml:space="preserve">И ИНОЙ ЭКОНОМИЧЕСКОЙ ДЕЯТЕЛЬНОСТИ, </w:t>
      </w:r>
      <w:proofErr w:type="gramStart"/>
      <w:r>
        <w:t>ВОЗНИКАЮЩИХ</w:t>
      </w:r>
      <w:proofErr w:type="gramEnd"/>
    </w:p>
    <w:p w:rsidR="00B40218" w:rsidRDefault="00B40218">
      <w:pPr>
        <w:pStyle w:val="ConsPlusTitle"/>
        <w:jc w:val="center"/>
      </w:pPr>
      <w:r>
        <w:t>В СВЯЗИ С ИСПОЛНЕНИЕМ ТРЕБОВАНИЙ РЕГУЛИРОВАНИЯ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"а" пункта 3</w:t>
        </w:r>
      </w:hyperlink>
      <w:r>
        <w:t xml:space="preserve"> постановления Правительства Российской Федерации от 30 января 2015 г. N 83 "О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Федерации" (Собрание законодательства Российской Федерации, 2015, N 6, ст. 965) приказываю: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 xml:space="preserve">Утвердить прилагаемую </w:t>
      </w:r>
      <w:hyperlink w:anchor="P28">
        <w:r>
          <w:rPr>
            <w:color w:val="0000FF"/>
          </w:rPr>
          <w:t>методику</w:t>
        </w:r>
      </w:hyperlink>
      <w:r>
        <w:t xml:space="preserve">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регулирования.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jc w:val="right"/>
      </w:pPr>
      <w:r>
        <w:t>Министр</w:t>
      </w:r>
    </w:p>
    <w:p w:rsidR="00B40218" w:rsidRDefault="00B40218">
      <w:pPr>
        <w:pStyle w:val="ConsPlusNormal"/>
        <w:jc w:val="right"/>
      </w:pPr>
      <w:r>
        <w:t>А.В.УЛЮКАЕВ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jc w:val="right"/>
        <w:outlineLvl w:val="0"/>
      </w:pPr>
      <w:r>
        <w:t>Утверждена</w:t>
      </w:r>
    </w:p>
    <w:p w:rsidR="00B40218" w:rsidRDefault="00B40218">
      <w:pPr>
        <w:pStyle w:val="ConsPlusNormal"/>
        <w:jc w:val="right"/>
      </w:pPr>
      <w:r>
        <w:t>приказом Минэкономразвития России</w:t>
      </w:r>
    </w:p>
    <w:p w:rsidR="00B40218" w:rsidRDefault="00B40218">
      <w:pPr>
        <w:pStyle w:val="ConsPlusNormal"/>
        <w:jc w:val="right"/>
      </w:pPr>
      <w:r>
        <w:t>от 22.09.2015 N 669</w:t>
      </w:r>
    </w:p>
    <w:p w:rsidR="00B40218" w:rsidRDefault="00B40218">
      <w:pPr>
        <w:pStyle w:val="ConsPlusNormal"/>
        <w:jc w:val="center"/>
      </w:pPr>
    </w:p>
    <w:p w:rsidR="00B40218" w:rsidRDefault="00B40218">
      <w:pPr>
        <w:pStyle w:val="ConsPlusTitle"/>
        <w:jc w:val="center"/>
      </w:pPr>
      <w:bookmarkStart w:id="0" w:name="P28"/>
      <w:bookmarkEnd w:id="0"/>
      <w:r>
        <w:t>МЕТОДИКА</w:t>
      </w:r>
    </w:p>
    <w:p w:rsidR="00B40218" w:rsidRDefault="00B40218">
      <w:pPr>
        <w:pStyle w:val="ConsPlusTitle"/>
        <w:jc w:val="center"/>
      </w:pPr>
      <w:r>
        <w:t>ОЦЕНКИ СТАНДАРТНЫХ ИЗДЕРЖЕК СУБЪЕКТОВ ПРЕДПРИНИМАТЕЛЬСКОЙ</w:t>
      </w:r>
    </w:p>
    <w:p w:rsidR="00B40218" w:rsidRDefault="00B40218">
      <w:pPr>
        <w:pStyle w:val="ConsPlusTitle"/>
        <w:jc w:val="center"/>
      </w:pPr>
      <w:r>
        <w:t xml:space="preserve">И ИНОЙ ЭКОНОМИЧЕСКОЙ ДЕЯТЕЛЬНОСТИ, </w:t>
      </w:r>
      <w:proofErr w:type="gramStart"/>
      <w:r>
        <w:t>ВОЗНИКАЮЩИХ</w:t>
      </w:r>
      <w:proofErr w:type="gramEnd"/>
    </w:p>
    <w:p w:rsidR="00B40218" w:rsidRDefault="00B40218">
      <w:pPr>
        <w:pStyle w:val="ConsPlusTitle"/>
        <w:jc w:val="center"/>
      </w:pPr>
      <w:r>
        <w:t>В СВЯЗИ С ИСПОЛНЕНИЕМ ТРЕБОВАНИЙ РЕГУЛИРОВАНИЯ</w:t>
      </w:r>
    </w:p>
    <w:p w:rsidR="00B40218" w:rsidRDefault="00B40218">
      <w:pPr>
        <w:pStyle w:val="ConsPlusNormal"/>
        <w:jc w:val="center"/>
      </w:pPr>
    </w:p>
    <w:p w:rsidR="00B40218" w:rsidRDefault="00B40218">
      <w:pPr>
        <w:pStyle w:val="ConsPlusNormal"/>
        <w:jc w:val="center"/>
        <w:outlineLvl w:val="1"/>
      </w:pPr>
      <w:r>
        <w:t>I. Общие положения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Настоящая методика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 (далее - методика), содержит рекомендуемый порядок действий по организации и проведению процедуры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 (далее - стандартные издержки), в ходе осуществления Минэкономразвития России и федеральными органами исполнительной власти, осуществляющими функции</w:t>
      </w:r>
      <w:proofErr w:type="gramEnd"/>
      <w:r>
        <w:t xml:space="preserve"> по нормативно-правовому регулированию в соответствующих сферах деятельности, процедур, предусмотренных: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 xml:space="preserve">а) </w:t>
      </w:r>
      <w:hyperlink r:id="rId6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&lt;1&gt;;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2012, N 52, ст. 7491; 2015, N 6, ст. 965; Официальный интернет-портал правовой информации http://www.pravo.gov.ru, 03.09.2015.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  <w:r>
        <w:t xml:space="preserve">б) </w:t>
      </w:r>
      <w:hyperlink r:id="rId7">
        <w:r>
          <w:rPr>
            <w:color w:val="0000FF"/>
          </w:rPr>
          <w:t>Правилами</w:t>
        </w:r>
      </w:hyperlink>
      <w:r>
        <w:t xml:space="preserve"> проведения оценки фактического воздействия нормативных правовых актов, утвержденными постановлением Правительства Российской Федерации от 30 января 2015 г. N 83 &lt;1&gt;;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2015, N 6, ст. 965.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  <w:r>
        <w:t>в) иными процедурами, в ходе реализации норм которых может проводиться оценка стандартных издержек.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2. Оценка стандартных издержек проводится в отношении проектов нормативных правовых актов (далее - проекты актов) в ходе оценки регулирующего воздействия, а также действующих нормативных правовых актов (далее - акты) в ходе оценки фактического воздействия.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В ходе проведения указанных процедур должны быть установлены положения, приводящие к возникновению у субъектов предпринимательской и иной экономической деятельности расходов, связанных с необходимостью соблюдения установленных требований регулирования. Количественная (монетарная) оценка таких расходов проводится с использованием модели стандартных издержек путем оценки издержек на выполнение участниками регулируемых отношений типовых действий, необходимых для выполнения требований со стороны государства.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Оценка стандартных издержек на выполнение установленных государством требований осуществляется в отношении актов и проектов актов в расчете на 1 календарный год.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3. Стандартные издержки состоят из информационных и содержательных издержек субъектов предпринимательской и иной экономической деятельности.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Расчет стандартных издержек основывается на произведении затрачиваемого рабочего времени на осуществление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B40218" w:rsidRDefault="00B40218">
      <w:pPr>
        <w:pStyle w:val="ConsPlusNormal"/>
        <w:spacing w:before="200"/>
        <w:ind w:firstLine="540"/>
        <w:jc w:val="both"/>
      </w:pPr>
      <w:bookmarkStart w:id="1" w:name="P51"/>
      <w:bookmarkEnd w:id="1"/>
      <w:r>
        <w:t>Содержательные издержки регулирования включают в себя затраты на реализацию положений акта, проекта акта, не связанные с выполнением информационных требований.</w:t>
      </w:r>
    </w:p>
    <w:p w:rsidR="00B40218" w:rsidRDefault="00B40218">
      <w:pPr>
        <w:pStyle w:val="ConsPlusNormal"/>
        <w:spacing w:before="200"/>
        <w:ind w:firstLine="540"/>
        <w:jc w:val="both"/>
      </w:pPr>
      <w:proofErr w:type="gramStart"/>
      <w:r>
        <w:t>Издержки</w:t>
      </w:r>
      <w:proofErr w:type="gramEnd"/>
      <w:r>
        <w:t xml:space="preserve"> указанные в </w:t>
      </w:r>
      <w:hyperlink w:anchor="P51">
        <w:r>
          <w:rPr>
            <w:color w:val="0000FF"/>
          </w:rPr>
          <w:t>абзаце 4 пункта 3</w:t>
        </w:r>
      </w:hyperlink>
      <w:r>
        <w:t xml:space="preserve"> настоящей методики разделяются на единовременные, осуществляемые в момент выполнения требований акта, проекта акта, и долгосрочные, регулярно осуществляемые на протяжении всего срока действия требования.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jc w:val="center"/>
        <w:outlineLvl w:val="1"/>
      </w:pPr>
      <w:r>
        <w:t>II. Методология расчета информационных издержек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  <w:r>
        <w:t>4. Проведение оценки информационных издержек предполагает последовательную реализацию следующих этапов: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1) выделение информационных требований из текста акта, проекта акта;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2) детализация информационных требований до уровня информационных элементов;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3) определение показателя масштаба информационных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4) определение частоты выполнения информационных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5) определение затрат рабочего времени, необходимых на выполнение информационных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6) определение стоимости приобретений, необходимых для выполнения информационных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lastRenderedPageBreak/>
        <w:t>7) расчет суммы информационных издержек.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5. В целях выделения из текста акта информационного требования необходимо определить установленное актом, проектом акта требование к субъектам предпринимательской и иной экономической деятельности о представлении государственному органу власти или уполномоченной им организации определенной информации либо об обеспечении условий для беспрепятственного получения необходимой информации о деятельности субъекта предпринимательской и иной экономической деятельности.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Процесс выделения информационных требований включает в себя поиск информационных требований, указанных в тексте акта, проекта акта, которые удовлетворяют всем следующим условиям: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распространяются на субъекты предпринимательской и иной экономической деятельности;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предполагают подготовку (представление) информации в органы власти, передача которой осуществляется лично, по почте, электронными и другими средствами связи.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Наиболее распространенными типами информационных требований являются: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представление информации (документы и их копии, уведомления);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формирование и хранение информации, необходимой для представления по запросу со стороны органов власти и (или) уполномоченных представителей.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6. В целях детализации информационного требования рекомендуется формировать исчерпывающий перечень недублирующих друг друга информационных элементов, на которые можно разделить информационное требование.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К типовым информационным элементам относятся: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документы субъектов предпринимательской и иной экономической деятельности, оригиналы которых уже готовы независимо от требований органов власти, указанных в исследуемом акте, проекте акта;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документы, которые субъекты предпринимательской и иной экономической деятельности готовят самостоятельно для представления (хранения) в органы власти, в том числе отчетность, заявки, уведомления;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документы, которые субъекты предпринимательской и иной экономической деятельности готовят совместно с третьими лицами, в том числе органами власти, для представления (хранения) в органы власти, включая справки, результаты экспертиз, разрешения.</w:t>
      </w:r>
    </w:p>
    <w:p w:rsidR="00B40218" w:rsidRDefault="00B40218">
      <w:pPr>
        <w:pStyle w:val="ConsPlusNormal"/>
        <w:spacing w:before="200"/>
        <w:ind w:firstLine="540"/>
        <w:jc w:val="both"/>
      </w:pPr>
      <w:bookmarkStart w:id="2" w:name="P76"/>
      <w:bookmarkEnd w:id="2"/>
      <w:r>
        <w:t>7. В целях определения масштаба информационного требования (информационного элемента) необходимо установить количество объектов (организаций, сотрудников, событий), на которых направлено регулирование с точки зрения необходимости выполнения информационного требования (представления информационного элемента).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Значения показателей масштаба определяются на основе стандартизированных оценок, представленных на официальном сайте Министерства экономического развития Российской Федерации (далее - констант), и данных официальной статистики, представленных на официальных сайтах Федеральной службы государственной статистики, Единой межведомственной информационно-статистической системы, Федеральной налоговой службы, Центрального банка Российской Федерации, иных ресурсах органов государственной власти.</w:t>
      </w:r>
    </w:p>
    <w:p w:rsidR="00B40218" w:rsidRDefault="00B40218">
      <w:pPr>
        <w:pStyle w:val="ConsPlusNormal"/>
        <w:spacing w:before="200"/>
        <w:ind w:firstLine="540"/>
        <w:jc w:val="both"/>
      </w:pPr>
      <w:proofErr w:type="gramStart"/>
      <w:r>
        <w:t>В случае отсутствия требуемых констант и данных официальной статистики искомые значения выявляются на основе данных, полученных путем проведения публичных консультаций, тематических исследований и данных из опубликованных научных статей с обязательным указанием источников, а также агрегации мнений специалистов, обладающих подтвержденным опытом работы и (или) научными публикациями по исследуемому вопросу (далее - экспертная оценка).</w:t>
      </w:r>
      <w:proofErr w:type="gramEnd"/>
    </w:p>
    <w:p w:rsidR="00B40218" w:rsidRDefault="00B40218">
      <w:pPr>
        <w:pStyle w:val="ConsPlusNormal"/>
        <w:spacing w:before="200"/>
        <w:ind w:firstLine="540"/>
        <w:jc w:val="both"/>
      </w:pPr>
      <w:bookmarkStart w:id="3" w:name="P79"/>
      <w:bookmarkEnd w:id="3"/>
      <w:r>
        <w:t>8. При определении частоты выполнения информационного требования (представления информационного элемента) устанавливается количество выполнений информационного требования (представлений информационных элементов) за календарный год.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lastRenderedPageBreak/>
        <w:t>9. В целях определения затрат рабочего времени, необходимых на выполнение информационного требования, складываются затраты рабочего времени на выполнение всех действий, необходимых для представления информационных элементов, входящих в соответствующее информационное требование.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Могут быть выделены следующие блоки действий: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подготовка (формирование) и представление документа (сведений);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получение (поиск) и представление документа;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получение документа у третьих лиц и представление его в государственный орган в пакете с иными документами;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получение (поиск), копирование и представление в государственный орган копии ранее подготовленного документа.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Затраты рабочего времени на выполнение действий определяются с помощью констант. В случае отсутствия требуемых констант искомые значения выявляются на основе формирования экспертной оценки.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В случае если масштаб и (или) частота выполнения информационного требования и масштаб и (или) частота представления входящих в него информационных элементов отличаются,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Затраты рабочего времени, необходимого на выполнение информационных требований, в указанных выше случаях рассчитываются путем суммирования по каждому информационному требованию затрат рабочего времени на представление информационных элементов, которые в него входят, с учетом показателей масштаба и частоты, найденных на предыдущих этапах (</w:t>
      </w:r>
      <w:proofErr w:type="gramStart"/>
      <w:r>
        <w:t>t</w:t>
      </w:r>
      <w:proofErr w:type="gramEnd"/>
      <w:r>
        <w:rPr>
          <w:vertAlign w:val="subscript"/>
        </w:rPr>
        <w:t>ит</w:t>
      </w:r>
      <w:r>
        <w:t>).</w:t>
      </w:r>
    </w:p>
    <w:p w:rsidR="00B40218" w:rsidRDefault="00B40218">
      <w:pPr>
        <w:pStyle w:val="ConsPlusNormal"/>
        <w:spacing w:before="200"/>
        <w:ind w:firstLine="540"/>
        <w:jc w:val="both"/>
      </w:pPr>
      <w:bookmarkStart w:id="4" w:name="P89"/>
      <w:bookmarkEnd w:id="4"/>
      <w:r>
        <w:t>10. В целях определения затрат на приобретения, необходимые для выполнения каждого информационного требования, с учетом показателя масштаба и частоты каждого входящего в него информационного элемента следует суммировать затраты на приобретения, необходимые для представления каждого информационного элемента.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В состав приобретений, необходимых для выполнения информационного требования (представления информационного элемента), включаются товары, работы, услуги, приобретаемые исключительно в целях выполнения информационного требования (представления информационного элемента).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Наиболее распространенные типы приобретений: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специфическое оборудование (измерительные приборы, датчики);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специфические услуги (курсы повышения квалификации работников);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затраты на государственную пошлину и иные обязательные платежи на получение, в том числе государственных услуг;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расходные материалы на выполнение требования.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В перечень приобретений для выполнения информационных требований не включаются: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товары, работы, услуги общего назначения, приобретение которых учитывается в составе накладных расходов, в том числе оргтехника, мебель, услуги информационно-телекоммуникационной сети "Интернет", коммунальные услуги;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товары, работы, услуги, имеющие несущественную стоимость по сравнению с затратами рабочего времени на исполнение информационного элемента (доля стоимости данных товаров, работ и услуг менее 5% от затрат рабочего времени в денежном выражении).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Процесс определения стоимости приобретений, необходимых для выполнения информационных требований, включает следующие этапы: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lastRenderedPageBreak/>
        <w:t>1) определение по каждому информационному элементу затрат на приобретения;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2) определение по каждому информационному требованию затрат на приобретения, которые необходимо осуществить для его выполнения, с учетом показателя масштаба и частоты каждого входящего в него информационного элемента.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 первом этапе по каждому информационному элементу определяется перечень приобретений, необходимых для его выполнения, и их стоимость.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В случае если приобретение относится сразу ко всем или к нескольким информационным элементам в рамках одного информационного требования, приобретение указывается только для одного информационного элемента.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Расчет стоимости приобретений, необходимых для представления информационных элементов (кроме государственных пошлин и иных обязательных платежей), осуществляется следующим образом (</w:t>
      </w:r>
      <w:proofErr w:type="gramStart"/>
      <w:r>
        <w:t>A</w:t>
      </w:r>
      <w:proofErr w:type="gramEnd"/>
      <w:r>
        <w:rPr>
          <w:vertAlign w:val="subscript"/>
        </w:rPr>
        <w:t>иэ</w:t>
      </w:r>
      <w:r>
        <w:t>):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jc w:val="center"/>
      </w:pPr>
      <w:r>
        <w:t>A</w:t>
      </w:r>
      <w:r>
        <w:rPr>
          <w:vertAlign w:val="subscript"/>
        </w:rPr>
        <w:t>иэ</w:t>
      </w:r>
      <w:r>
        <w:t xml:space="preserve"> = МР</w:t>
      </w:r>
      <w:proofErr w:type="gramStart"/>
      <w:r>
        <w:t xml:space="preserve"> :</w:t>
      </w:r>
      <w:proofErr w:type="gramEnd"/>
      <w:r>
        <w:t xml:space="preserve"> (n * q),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  <w:r>
        <w:t>где: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МР - средняя рыночная цена на соответствующий товар;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n - нормативное число лет службы приобретения (для работ/услуг и расходных материалов n = 1);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q - ожидаемое число использований приобретения за календарный год для осуществления информационного требования.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 втором этапе по каждому информационному требованию определяются затраты на приобретения, которые необходимо осуществить для его выполнения путем суммирования затрат на приобретения по каждому информационному элементу, с учетом показателей масштаба и частоты, рассчитанных на предыдущих этапах (</w:t>
      </w:r>
      <w:proofErr w:type="gramStart"/>
      <w:r>
        <w:t>A</w:t>
      </w:r>
      <w:proofErr w:type="gramEnd"/>
      <w:r>
        <w:rPr>
          <w:vertAlign w:val="subscript"/>
        </w:rPr>
        <w:t>ит</w:t>
      </w:r>
      <w:r>
        <w:t>).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11. В целях расчета совокупных информационных издержек по всем информационным требованиям суммируются трудозатраты и приобретения, необходимые для выполнения всех информационных требований, в денежном выражении с учетом показателей масштаба и частоты информационных требований.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Процесс определения суммы информационных издержек по всем информационным требованиям акта, проекта акта в указанных выше случаях включает следующие этапы: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1) расчет информационных издержек выполнения каждого информационного требования с учетом показателей масштаба и частоты каждого входящего в него информационного элемента;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2) расчет суммы информационных издержек по всем информационным требованиям акта, проекта акта.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 первом этапе рассчитываются информационные издержки по выполнению каждого информационного требования (И</w:t>
      </w:r>
      <w:r>
        <w:rPr>
          <w:vertAlign w:val="subscript"/>
        </w:rPr>
        <w:t>ит</w:t>
      </w:r>
      <w:r>
        <w:t>):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jc w:val="center"/>
      </w:pPr>
      <w:r>
        <w:t>И</w:t>
      </w:r>
      <w:r>
        <w:rPr>
          <w:vertAlign w:val="subscript"/>
        </w:rPr>
        <w:t>ит</w:t>
      </w:r>
      <w:r>
        <w:t xml:space="preserve"> = </w:t>
      </w:r>
      <w:proofErr w:type="gramStart"/>
      <w:r>
        <w:t>t</w:t>
      </w:r>
      <w:proofErr w:type="gramEnd"/>
      <w:r>
        <w:rPr>
          <w:vertAlign w:val="subscript"/>
        </w:rPr>
        <w:t>ит</w:t>
      </w:r>
      <w:r>
        <w:t xml:space="preserve"> * w + A</w:t>
      </w:r>
      <w:r>
        <w:rPr>
          <w:vertAlign w:val="subscript"/>
        </w:rPr>
        <w:t>ит</w:t>
      </w:r>
      <w:r>
        <w:t>,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  <w:r>
        <w:t>где:</w:t>
      </w:r>
    </w:p>
    <w:p w:rsidR="00B40218" w:rsidRDefault="00B40218">
      <w:pPr>
        <w:pStyle w:val="ConsPlusNormal"/>
        <w:spacing w:before="200"/>
        <w:ind w:firstLine="540"/>
        <w:jc w:val="both"/>
      </w:pPr>
      <w:proofErr w:type="gramStart"/>
      <w:r>
        <w:t>t</w:t>
      </w:r>
      <w:proofErr w:type="gramEnd"/>
      <w:r>
        <w:rPr>
          <w:vertAlign w:val="subscript"/>
        </w:rPr>
        <w:t>ит</w:t>
      </w:r>
      <w:r>
        <w:t xml:space="preserve"> - затраты рабочего времени в часах, полученные на этапе определения затрат рабочего времени, необходимых на выполнение информационных требований, на выполнение каждого информационного требования, с учетом показателей масштаба и частоты;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w - средняя стоимость часа работы персонала, занятого выполнением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B40218" w:rsidRDefault="00B40218">
      <w:pPr>
        <w:pStyle w:val="ConsPlusNormal"/>
        <w:spacing w:before="200"/>
        <w:ind w:firstLine="540"/>
        <w:jc w:val="both"/>
      </w:pPr>
      <w:proofErr w:type="gramStart"/>
      <w:r>
        <w:t>A</w:t>
      </w:r>
      <w:proofErr w:type="gramEnd"/>
      <w:r>
        <w:rPr>
          <w:vertAlign w:val="subscript"/>
        </w:rPr>
        <w:t>ит</w:t>
      </w:r>
      <w:r>
        <w:t xml:space="preserve"> - стоимость приобретений, необходимых для выполнения информационного требования, с учетом показателей масштаба и частоты.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lastRenderedPageBreak/>
        <w:t>На втором этапе рассчитывается сумма информационных издержек по всем информационным требованиям акта, проекта акта за календарный год.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jc w:val="center"/>
        <w:outlineLvl w:val="1"/>
      </w:pPr>
      <w:r>
        <w:t>III. Методология расчета содержательных издержек</w:t>
      </w:r>
    </w:p>
    <w:p w:rsidR="00B40218" w:rsidRDefault="00B40218">
      <w:pPr>
        <w:pStyle w:val="ConsPlusNormal"/>
        <w:jc w:val="center"/>
      </w:pPr>
    </w:p>
    <w:p w:rsidR="00B40218" w:rsidRDefault="00B40218">
      <w:pPr>
        <w:pStyle w:val="ConsPlusNormal"/>
        <w:ind w:firstLine="540"/>
        <w:jc w:val="both"/>
      </w:pPr>
      <w:r>
        <w:t>12. Проведение оценки содержательных издержек предполагает последовательную реализацию следующих этапов: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1) выделение содержательных требований из текста акта, проекта акта;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2) определение показателя масштаба содержательных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3) определение частоты выполнения содержательных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4) определение затрат рабочего времени, необходимого на выполнение содержательных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5) определение стоимости приобретений, необходимых для выполнения содержательных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6) расчет суммы содержательных издержек.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13. В процессе выделения содержательных требований из текста акта, проекта акта устанавливаются требования к субъектам предпринимательской и иной экономической деятельности, не связанные с представлением информации либо обеспечением условий для ее беспрепятственного получения уполномоченными органами.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Процесс выделения содержательных требований включает в себя поиск разовых и периодических содержательных требований, указанных в тексте акта, проекта акта, которые удовлетворяют всем следующим условиям: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распространяются на субъекты предпринимательской и иной экономической деятельности;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не являются информационными требованиями.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Наиболее распространенными типами содержательных требований являются: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приобретение (установка и обслуживание) оборудования;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найм дополнительного персонала;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заказ (представление) услуг.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14. В целях определения масштаба содержательного требования устанавливается количество объектов (организаций, сотрудников, событий), на которые направлено регулирование с точки зрения необходимости выполнения содержательного требования.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 xml:space="preserve">Значения показателей масштаба содержательных требований определяются в соответствии с </w:t>
      </w:r>
      <w:hyperlink w:anchor="P76">
        <w:r>
          <w:rPr>
            <w:color w:val="0000FF"/>
          </w:rPr>
          <w:t>пунктом 7</w:t>
        </w:r>
      </w:hyperlink>
      <w:r>
        <w:t xml:space="preserve"> настоящей методики.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15. В целях определения частоты выполнения содержательного требования устанавливается количество выполнений содержательного требования за календарный год.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 xml:space="preserve">Значения показателей частоты содержательных требований определяются в соответствии с </w:t>
      </w:r>
      <w:hyperlink w:anchor="P79">
        <w:r>
          <w:rPr>
            <w:color w:val="0000FF"/>
          </w:rPr>
          <w:t>пунктом 8</w:t>
        </w:r>
      </w:hyperlink>
      <w:r>
        <w:t xml:space="preserve"> настоящей методики.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16. Процесс определения затрат рабочего времени, необходимого на выполнение содержательных требований, включает следующие этапы: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1) определение по каждому содержательному требованию действий, которые необходимо осуществить для его выполнения;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2) оценка затрат рабочего времени по действиям, которые необходимо осуществить для выполнения содержательных требований;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 xml:space="preserve">3) определение совокупных затрат рабочего времени на выполнение каждого </w:t>
      </w:r>
      <w:r>
        <w:lastRenderedPageBreak/>
        <w:t>содержательного требования с учетом показателя масштаба и частоты.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 первом этапе по каждому содержательному требованию определяются действия, которые необходимо осуществить для его выполнения.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Могут быть выделены следующие блоки действий: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поиск необходимых товаров, работ, услуг;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согласование условий и заключение договора;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установка приобретения;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обслуживание приобретения.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 втором этапе производится оценка затрат рабочего времени на выполнение действий, необходимых для выполнения каждого содержательного требования. Затраты рабочего времени на выполнение действий определяются с помощью констант и данных официальной статистики. В случае отсутствия требуемых констант и данных официальной статистики искомые значения выявляются на основе формирования экспертной оценки.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 третьем этапе определяются затраты рабочего времени на выполнение каждого содержательного требования путем суммирования затрат рабочего времени по каждому действию, необходимому для его выполнения, с учетом показателей масштаба и частоты, выявленных на предыдущих этапах (</w:t>
      </w:r>
      <w:proofErr w:type="gramStart"/>
      <w:r>
        <w:t>t</w:t>
      </w:r>
      <w:proofErr w:type="gramEnd"/>
      <w:r>
        <w:rPr>
          <w:vertAlign w:val="subscript"/>
        </w:rPr>
        <w:t>с</w:t>
      </w:r>
      <w:r>
        <w:t>).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17. В целях определения стоимости приобретений, необходимых для выполнения каждого содержательного требования, рекомендуется выявить перечень товаров, работ, услуг, обязательных для его выполнения.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В состав приобретений для выполнения содержательного требования также могут входить товары, работы, услуги, которые могут быть направлены не только на выполнение содержательного требования, но и на осуществление деятельности компании в целом.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В перечень приобретений, необходимых для выполнения содержательных требований, не включаются: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товары, работы, услуги, имеющие несущественную стоимость по сравнению с затратами рабочего времени на исполнение информационного элемента (доля стоимости данных товаров, работ и услуг менее 5% от затрат рабочего времени в денежном выражении);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- товары, работы, услуги, приобретение которых обусловлено выполнением требований нескольких актов.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В случае если приобретение относится сразу ко всем или к нескольким содержательным требованиям, приобретение указывается только для одного содержательного требования.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 xml:space="preserve">Стоимость приобретений, необходимых для выполнения содержательных требований по каждому приобретению, рассчитывается в соответствии с </w:t>
      </w:r>
      <w:hyperlink w:anchor="P89">
        <w:r>
          <w:rPr>
            <w:color w:val="0000FF"/>
          </w:rPr>
          <w:t>пунктом 10</w:t>
        </w:r>
      </w:hyperlink>
      <w:r>
        <w:t xml:space="preserve"> настоящей методики с учетом показателей масштаба и частоты (</w:t>
      </w:r>
      <w:proofErr w:type="gramStart"/>
      <w:r>
        <w:t>A</w:t>
      </w:r>
      <w:proofErr w:type="gramEnd"/>
      <w:r>
        <w:rPr>
          <w:vertAlign w:val="subscript"/>
        </w:rPr>
        <w:t>с</w:t>
      </w:r>
      <w:r>
        <w:t>).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18. Сумма содержательных издержек по всем содержательным требованиям акта, проекта акта рассчитывается как сумма трудозатрат и приобретений, необходимых для выполнения всех содержательных требований, в денежном выражении с учетом показателя масштаба и частоты.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Процесс определения совокупных содержательных издержек по всем содержательным требованиям акта, проекта акта включает следующие этапы: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1) расчет содержательных издержек выполнения каждого содержательного требования с учетом показателя масштаба и частоты;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2) расчет суммы содержательных издержек по всем содержательным требованиям акта, проекта акта за календарный год.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 xml:space="preserve">На первом этапе рассчитываются содержательные издержки по выполнению каждого </w:t>
      </w:r>
      <w:r>
        <w:lastRenderedPageBreak/>
        <w:t>содержательного требования (И</w:t>
      </w:r>
      <w:r>
        <w:rPr>
          <w:vertAlign w:val="subscript"/>
        </w:rPr>
        <w:t>с</w:t>
      </w:r>
      <w:r>
        <w:t>):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jc w:val="center"/>
      </w:pPr>
      <w:r>
        <w:t>И</w:t>
      </w:r>
      <w:r>
        <w:rPr>
          <w:vertAlign w:val="subscript"/>
        </w:rPr>
        <w:t>с</w:t>
      </w:r>
      <w:r>
        <w:t xml:space="preserve"> = </w:t>
      </w:r>
      <w:proofErr w:type="gramStart"/>
      <w:r>
        <w:t>t</w:t>
      </w:r>
      <w:proofErr w:type="gramEnd"/>
      <w:r>
        <w:rPr>
          <w:vertAlign w:val="subscript"/>
        </w:rPr>
        <w:t>с</w:t>
      </w:r>
      <w:r>
        <w:t xml:space="preserve"> * w + A</w:t>
      </w:r>
      <w:r>
        <w:rPr>
          <w:vertAlign w:val="subscript"/>
        </w:rPr>
        <w:t>с</w:t>
      </w:r>
      <w:r>
        <w:t>,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  <w:r>
        <w:t>где:</w:t>
      </w:r>
    </w:p>
    <w:p w:rsidR="00B40218" w:rsidRDefault="00B40218">
      <w:pPr>
        <w:pStyle w:val="ConsPlusNormal"/>
        <w:spacing w:before="200"/>
        <w:ind w:firstLine="540"/>
        <w:jc w:val="both"/>
      </w:pPr>
      <w:proofErr w:type="gramStart"/>
      <w:r>
        <w:t>t</w:t>
      </w:r>
      <w:proofErr w:type="gramEnd"/>
      <w:r>
        <w:rPr>
          <w:vertAlign w:val="subscript"/>
        </w:rPr>
        <w:t>с</w:t>
      </w:r>
      <w:r>
        <w:t xml:space="preserve"> - затраты рабочего времени в часах, полученные на четвертом этапе, на выполнение каждого содержательного требования с учетом показателя масштаба и частоты;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w - средняя стоимость часа работы персонала, занятого выполнением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B40218" w:rsidRDefault="00B40218">
      <w:pPr>
        <w:pStyle w:val="ConsPlusNormal"/>
        <w:spacing w:before="200"/>
        <w:ind w:firstLine="540"/>
        <w:jc w:val="both"/>
      </w:pPr>
      <w:proofErr w:type="gramStart"/>
      <w:r>
        <w:t>A</w:t>
      </w:r>
      <w:proofErr w:type="gramEnd"/>
      <w:r>
        <w:rPr>
          <w:vertAlign w:val="subscript"/>
        </w:rPr>
        <w:t>с</w:t>
      </w:r>
      <w:r>
        <w:t xml:space="preserve"> - стоимость приобретений, полученных на пятом этапе, необходимых для выполнения содержательного требования, с учетом показателя масштаба и частоты.</w:t>
      </w:r>
    </w:p>
    <w:p w:rsidR="00B40218" w:rsidRDefault="00B40218">
      <w:pPr>
        <w:pStyle w:val="ConsPlusNormal"/>
        <w:spacing w:before="200"/>
        <w:ind w:firstLine="540"/>
        <w:jc w:val="both"/>
      </w:pPr>
      <w:r>
        <w:t>На втором этапе рассчитывается сумма содержательных издержек по всем содержательным требованиям акта, проекта акта за календарный год.</w:t>
      </w: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ind w:firstLine="540"/>
        <w:jc w:val="both"/>
      </w:pPr>
    </w:p>
    <w:p w:rsidR="00B40218" w:rsidRDefault="00B402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4DDA" w:rsidRDefault="00FF4DDA"/>
    <w:sectPr w:rsidR="00FF4DDA" w:rsidSect="00FF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B40218"/>
    <w:rsid w:val="00B40218"/>
    <w:rsid w:val="00CB0445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2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402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402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11A10DEBF8390882E1F7CB8D691531F270C5B4E78260F9C678611243DB90EE23B69A0D1BDEBF9EAF77C7C75BA4A6966BF89D9B482155C5b4u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1A10DEBF8390882E1F7CB8D691531F27FCFB7EB8260F9C678611243DB90EE23B69A0D1AD5EBCEEA299E9618EFAA9772E49C98b5u4F" TargetMode="External"/><Relationship Id="rId5" Type="http://schemas.openxmlformats.org/officeDocument/2006/relationships/hyperlink" Target="consultantplus://offline/ref=2C11A10DEBF8390882E1F7CB8D691531F270C5B4E78260F9C678611243DB90EE23B69A0D1BDEBF9EAF77C7C75BA4A6966BF89D9B482155C5b4u7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3282</Words>
  <Characters>18711</Characters>
  <Application>Microsoft Office Word</Application>
  <DocSecurity>0</DocSecurity>
  <Lines>155</Lines>
  <Paragraphs>43</Paragraphs>
  <ScaleCrop>false</ScaleCrop>
  <Company/>
  <LinksUpToDate>false</LinksUpToDate>
  <CharactersWithSpaces>21950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2022-11-07T05:46:00Z</dcterms:created>
  <dcterms:modified xsi:type="dcterms:W3CDTF">2022-11-07T05:47:00Z</dcterms:modified>
</cp:coreProperties>
</file>