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3E" w:rsidRPr="0030513E" w:rsidRDefault="0030513E" w:rsidP="0030513E">
      <w:pPr>
        <w:spacing w:before="140" w:after="140" w:line="240" w:lineRule="auto"/>
        <w:jc w:val="center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  <w:r w:rsidRPr="0030513E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Извещение о проведении электронного аукциона</w:t>
      </w:r>
    </w:p>
    <w:p w:rsidR="0030513E" w:rsidRPr="0030513E" w:rsidRDefault="0030513E" w:rsidP="0030513E">
      <w:pPr>
        <w:spacing w:before="140" w:after="140" w:line="240" w:lineRule="auto"/>
        <w:jc w:val="center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30513E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для закупки №0153300018425000007</w:t>
      </w:r>
    </w:p>
    <w:tbl>
      <w:tblPr>
        <w:tblW w:w="10089" w:type="dxa"/>
        <w:tblCellMar>
          <w:left w:w="0" w:type="dxa"/>
          <w:right w:w="0" w:type="dxa"/>
        </w:tblCellMar>
        <w:tblLook w:val="04A0"/>
      </w:tblPr>
      <w:tblGrid>
        <w:gridCol w:w="3472"/>
        <w:gridCol w:w="6628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30513E" w:rsidRPr="0030513E" w:rsidTr="0030513E">
        <w:trPr>
          <w:gridAfter w:val="60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6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Основание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03.02.2025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Информация отсутствует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внесение изменений в проект муниципального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FF0000"/>
                <w:sz w:val="11"/>
                <w:szCs w:val="11"/>
                <w:lang w:eastAsia="ru-RU"/>
              </w:rPr>
      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0153300018425000007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Поставка бензина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Электронный аукцион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АО «Сбербанк-АСТ»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http://www.sberbank-ast.ru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Уполномоченный орган</w:t>
            </w: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br/>
              <w:t>АДМИНИСТРАЦИЯ МУНИЦИПАЛЬНОГО ОБРАЗОВАНИЯ ГРАЧЕВСКИЙ РАЙОН ОРЕНБУРГСКОЙ ОБЛАСТИ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АДМИНИСТРАЦИЯ МУНИЦИПАЛЬНОГО ОБРАЗОВАНИЯ ГРАЧЕВСКИЙ РАЙОН ОРЕНБУРГСКОЙ ОБЛАСТИ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461800, Оренбургская область , ГРАЧЕВСКИЙ Р-Н, С ГРАЧЕВКА, УЛ МАЙСКАЯ, ЗД. 22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Бахарева Ольга Анатольевна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pominov@gr.orb.ru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7-353-4421630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Информация отсутствует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Информация отсутствует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11.02.2025 08:30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11.02.2025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12.02.2025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1350000.00 РОССИЙСКИЙ РУБЛЬ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253562702032656270100100030021920244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1 МУНИЦИПАЛЬНОЕ КАЗЕННОЕ УЧРЕЖДЕНИЕ "ЦЕНТР МАТЕРИАЛЬНО-ТЕХНИЧЕСКОГО ОБЕСПЕЧЕНИЯ"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Максимальное значение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1350000.00 РОССИЙСКИЙ РУБЛЬ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Формула цены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 xml:space="preserve">Цк = ∑Цi расч. х Vi , где Цк - цена Контракта, определенная с использованием настоящей формулы, которая не может превышать ЦКmax (максимальное значение цены Контракта) (Цк </w:t>
            </w:r>
            <w:r w:rsidRPr="0030513E">
              <w:rPr>
                <w:rFonts w:ascii="Cambria Math" w:eastAsia="Times New Roman" w:hAnsi="Cambria Math" w:cs="Cambria Math"/>
                <w:color w:val="000000"/>
                <w:sz w:val="11"/>
                <w:szCs w:val="11"/>
                <w:lang w:eastAsia="ru-RU"/>
              </w:rPr>
              <w:t>⩽</w:t>
            </w: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 xml:space="preserve"> ЦКmax); Цi расч. – расчетная цена каждой i-той поставки (заправки) по каждому виду товара. При этом: Цi расч. = Цi зп, если Цi зп </w:t>
            </w:r>
            <w:r w:rsidRPr="0030513E">
              <w:rPr>
                <w:rFonts w:ascii="Cambria Math" w:eastAsia="Times New Roman" w:hAnsi="Cambria Math" w:cs="Cambria Math"/>
                <w:color w:val="000000"/>
                <w:sz w:val="11"/>
                <w:szCs w:val="11"/>
                <w:lang w:eastAsia="ru-RU"/>
              </w:rPr>
              <w:t>⩽</w:t>
            </w: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 xml:space="preserve"> Цi розн.; Цi расч. = Цi розн., если Цi зп &gt; Цi розн., где Цi зп - фиксированная цена за единицу Товара, определяемая по результатам закупочной процедуры, указанная в Спецификации (Приложение №1 к Настоящему Контракту) с наименованием «Цена за литр, рублей, с НДС» Цi розн. - фактическая отпускная розничная цена за единицу Товара на момент каждой i-той поставки (заправки), действующая на ТО в момент получения Товара ЗАКАЗЧИКОМ. Vi - количество литров Товара по отдельному факту каждой i-той поставки (заправки).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 даты заключения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lastRenderedPageBreak/>
              <w:t>Срок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31.12.2025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бюджет муниципального образования Грачевский район Оренбургской области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Вид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местный бюджет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53615000: Муниципальные образования Оренбургской области / Муниципальные районы Оренбургской области / Грачёвский муниципальный район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34"/>
              <w:gridCol w:w="1934"/>
              <w:gridCol w:w="1884"/>
              <w:gridCol w:w="1884"/>
              <w:gridCol w:w="2920"/>
            </w:tblGrid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35"/>
              <w:gridCol w:w="1234"/>
              <w:gridCol w:w="1252"/>
              <w:gridCol w:w="761"/>
              <w:gridCol w:w="761"/>
              <w:gridCol w:w="2013"/>
            </w:tblGrid>
            <w:tr w:rsidR="0030513E" w:rsidRPr="0030513E">
              <w:tc>
                <w:tcPr>
                  <w:tcW w:w="38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30513E" w:rsidRPr="0030513E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11101131140126010244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1350000.00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Российская Федерация, обл Оренбургская, м.р-н Грачёвский, в бак автомобилей Заказчика на АЗС села Грачевки Грачевского района Оренбургской области и АЗС по всем трассам Оренбургской области, в том числе федерального, регионального, межмуниципального и местного значения.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13500.00 РОССИЙСКИЙ РУБЛЬ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Порядок внесения денежных средств в качестве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Обеспечение заявки на участие в закупке может предоставляться участником закупки в виде денежных средств или независимой гарантии. Выбор способа обеспечения заявки на участие в закупке осуществляется участником закупки. Денежные средства,предназначенные для обеспечения заявок,вносятся участниками закупок на специальные счета,открытые ими в банках,перечень которых установлен распоряжением Правительства РФ от 13.07.2018г. N1451-р. Требования к договору спец.счета установлены ПП РФ от 30.05.2018 N626. Участники закупки государств - членов ЕАЭС,за исключением РФ,или физическими лицами,являющимися гражданами государств - членов ЕАЭС,за исключением РФ,вправе предоставить обеспечение заявок в виде денежных средств с учетом особенностей,установленных постановлением Правительства РФ от 10.04.2023 №579 Обеспечение заявки возможно путем блокирования денежных средств при наличии на спец.счете участника закупки не заблокированных денежных средств в размере,предусмотренном настоящим извещением. Подачей заявки на участие в закупке участник закупки выражает согласие на блокирование денежных средств,находящихся на его спец.счете в размере обеспечения соответствующей заявки. Обеспечение заявки на участие в закупке может обеспечиваться предоставлением независимой гарантии,соответствующей требованиям ст.45 44-ФЗ. Независимая гарантия должна быть включена в реестр независимых  гарантий,размещенный в ЕИС. Независимая гарантия оформляется в письменной форме на бумажном носителе или в форме электронного документа,подписанного электронной подписью лица,имеющего право действовать от имени гаранта. Независимая гарантия должна быть безотзывной и должна содержать информацию,указанную в ч.2 и 3 ст. 45 44-ФЗ,а также дополнительную информацию,указанную в  ПП РФ от 08.11.2013 N1005 Срок действия независимой гарантии должен составлять не менее месяца с даты окончания срока подачи заявок. Государственные,муниципальные учреждения не предоставляют обеспечение подаваемых ими заявок на участие в закупках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расчётного счёта"03232643536150005300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лицевого счёта"005060020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"Код поступления" Информация отсутствует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"БИК"015354008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"Наименование кредитной организации"Отделение Оренбург Банка России // УФК по Оренбургской области г.Оренбург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корреспондентского счета"40102810545370000045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67500.00 РОССИЙСКИЙ РУБЛЬ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Контракт заключается после предоставления участником закупки, с которым заключается контракт, обеспечения исполнения контракта, за исключением случаев, указанных в ч.8 и 8.1 ст.96 № 44-ФЗ. Исполнение контракта может обеспечиваться независимой гарантией, выданной в соответствии с требованиям ст.45 № 44-ФЗ, или денежными средствами. Способ обеспечения исполнения контракта определяется участником закупки, с которым заключается контракт, самостоятельно. В случае, если участником закупки, с которым заключается контракт, является казенное учреждение, требование об обеспечении исполнения контракта к нему не применяются. Требования к обеспечению исполнения контракта, предоставляемому в виде независимой гарантии, установлены в ст.45 № 44-ФЗ. Независимая гарантия должна быть включена в реестр независимых гарантий, размещенный в единой информационной системе. Независимая гарантия должна быть безотзывной и должна содержать информацию, указанную в ч.2 и 3 ст.45 44-ФЗ, а также дополнительную информацию, указанную в ПП РФ от 08.11.2013 N1005.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гарантией, не менее чем на один месяц, в том числе в случае его изменения в соответствии со ст.95 № 44-ФЗ. Требования к обеспечению исполнения контракта, предоставляемому в виде денежных средств: денежные средства, вносимые в обеспечение исполнения контракта, должны быть перечислены в размере и по реквизитам, установленном в настоящем извещении с обязательным указанием соответствующего назначения платежа в платежном поручении; факт внесения денежных средств в обеспечение исполнения контракта подтверждается платежным поручением с отметкой банка об оплате, квитанцией в случае наличной формы оплаты; денежные средства должны быть перечислены до заключения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расчётного счёта"03232643536150005300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лицевого счёта"005060020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"Код поступления" Информация отсутствует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"БИК"015354008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"Наименование кредитной организации"Отделение Оренбург Банка России // УФК по Оренбургской области г.Оренбург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"Номер корреспондентского счета"40102810545370000045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Информация о требованиях к гарантийному обслуживанию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согласно проекта муниципального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Требования к гарантии производителя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согласно проекта муниципального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согласно проекта муниципального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Информация отсутствует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В соответствии с ч. 24 ст. 22 Закона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контракта, указанного в извещении об осуществлении закупки и документации о закупке.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Невозможно определить количество (объем) закупаемых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Да</w:t>
            </w: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0"/>
              <w:gridCol w:w="1296"/>
              <w:gridCol w:w="841"/>
              <w:gridCol w:w="1583"/>
              <w:gridCol w:w="1036"/>
              <w:gridCol w:w="1268"/>
              <w:gridCol w:w="1222"/>
            </w:tblGrid>
            <w:tr w:rsidR="0030513E" w:rsidRPr="0030513E">
              <w:trPr>
                <w:trHeight w:val="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5"/>
                  </w:tblGrid>
                  <w:tr w:rsidR="0030513E" w:rsidRPr="0030513E">
                    <w:trPr>
                      <w:jc w:val="center"/>
                    </w:trPr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30513E" w:rsidRPr="0030513E" w:rsidRDefault="0030513E" w:rsidP="003051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9"/>
                            <w:szCs w:val="9"/>
                            <w:lang w:eastAsia="ru-RU"/>
                          </w:rPr>
                        </w:pPr>
                        <w:r w:rsidRPr="00305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9"/>
                            <w:szCs w:val="9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Стоимость позиции</w:t>
                  </w:r>
                </w:p>
              </w:tc>
            </w:tr>
            <w:tr w:rsidR="0030513E" w:rsidRPr="0030513E">
              <w:trPr>
                <w:trHeight w:val="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Бензин автомобильный (розничная реализация)</w:t>
                  </w: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br/>
                    <w:t>Идентификатор: 172586406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19.20.21.100-00000005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Товар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64.34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6"/>
                  </w:tblGrid>
                  <w:tr w:rsidR="0030513E" w:rsidRPr="0030513E"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30513E" w:rsidRPr="0030513E" w:rsidRDefault="0030513E" w:rsidP="0030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eastAsia="ru-RU"/>
                          </w:rPr>
                        </w:pPr>
                        <w:r w:rsidRPr="0030513E"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30513E" w:rsidRPr="0030513E" w:rsidRDefault="0030513E" w:rsidP="0030513E">
                  <w:pPr>
                    <w:spacing w:after="0" w:line="9" w:lineRule="atLeast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64.34</w:t>
                  </w: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rPr>
          <w:gridAfter w:val="6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91"/>
              <w:gridCol w:w="1533"/>
              <w:gridCol w:w="3953"/>
              <w:gridCol w:w="15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30513E" w:rsidRPr="0030513E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Характеристики товара, работы, услуги ( Бензин автомобильный (розничная реализация) )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Не ниже К5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≥ 95 и &lt; 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56"/>
            </w:tblGrid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10"/>
              <w:gridCol w:w="1296"/>
              <w:gridCol w:w="841"/>
              <w:gridCol w:w="1583"/>
              <w:gridCol w:w="1036"/>
              <w:gridCol w:w="1268"/>
              <w:gridCol w:w="1222"/>
            </w:tblGrid>
            <w:tr w:rsidR="0030513E" w:rsidRPr="0030513E">
              <w:trPr>
                <w:trHeight w:val="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5"/>
                  </w:tblGrid>
                  <w:tr w:rsidR="0030513E" w:rsidRPr="0030513E">
                    <w:trPr>
                      <w:jc w:val="center"/>
                    </w:trPr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30513E" w:rsidRPr="0030513E" w:rsidRDefault="0030513E" w:rsidP="0030513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9"/>
                            <w:szCs w:val="9"/>
                            <w:lang w:eastAsia="ru-RU"/>
                          </w:rPr>
                        </w:pPr>
                        <w:r w:rsidRPr="003051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9"/>
                            <w:szCs w:val="9"/>
                            <w:lang w:eastAsia="ru-RU"/>
                          </w:rPr>
                          <w:t>Заказчик</w:t>
                        </w:r>
                      </w:p>
                    </w:tc>
                  </w:tr>
                </w:tbl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Стоимость позиции</w:t>
                  </w:r>
                </w:p>
              </w:tc>
            </w:tr>
            <w:tr w:rsidR="0030513E" w:rsidRPr="0030513E">
              <w:trPr>
                <w:trHeight w:val="9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Бензин автомобильный (розничная реализация)</w:t>
                  </w: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br/>
                    <w:t>Идентификатор: 172586407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19.20.21.100-00000006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Товар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59.20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tbl>
                  <w:tblPr>
                    <w:tblW w:w="7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26"/>
                  </w:tblGrid>
                  <w:tr w:rsidR="0030513E" w:rsidRPr="0030513E">
                    <w:tc>
                      <w:tcPr>
                        <w:tcW w:w="4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47" w:type="dxa"/>
                          <w:left w:w="47" w:type="dxa"/>
                          <w:bottom w:w="47" w:type="dxa"/>
                          <w:right w:w="47" w:type="dxa"/>
                        </w:tcMar>
                        <w:vAlign w:val="center"/>
                        <w:hideMark/>
                      </w:tcPr>
                      <w:p w:rsidR="0030513E" w:rsidRPr="0030513E" w:rsidRDefault="0030513E" w:rsidP="0030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eastAsia="ru-RU"/>
                          </w:rPr>
                        </w:pPr>
                        <w:r w:rsidRPr="0030513E"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  <w:lang w:eastAsia="ru-RU"/>
                          </w:rPr>
                          <w:t>МУНИЦИПАЛЬНОЕ КАЗЕННОЕ УЧРЕЖДЕНИЕ "ЦЕНТР МАТЕРИАЛЬНО-ТЕХНИЧЕСКОГО ОБЕСПЕЧЕНИЯ" ГРАЧЕВСКОГО РАЙОНА ОРЕНБУРГСКОЙ ОБЛАСТИ</w:t>
                        </w:r>
                      </w:p>
                    </w:tc>
                  </w:tr>
                </w:tbl>
                <w:p w:rsidR="0030513E" w:rsidRPr="0030513E" w:rsidRDefault="0030513E" w:rsidP="0030513E">
                  <w:pPr>
                    <w:spacing w:after="0" w:line="9" w:lineRule="atLeast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9" w:lineRule="atLeast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59.20</w:t>
                  </w: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91"/>
              <w:gridCol w:w="1533"/>
              <w:gridCol w:w="3953"/>
              <w:gridCol w:w="15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30513E" w:rsidRPr="0030513E">
              <w:tc>
                <w:tcPr>
                  <w:tcW w:w="0" w:type="auto"/>
                  <w:gridSpan w:val="6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Характеристики товара, работы, услуги ( Бензин автомобильный (розничная реализация) )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9"/>
                      <w:szCs w:val="9"/>
                      <w:lang w:eastAsia="ru-RU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Не ниже К5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≥ 92 и &lt; 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56"/>
            </w:tblGrid>
            <w:tr w:rsidR="0030513E" w:rsidRPr="0030513E"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D3D3D3"/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jc w:val="right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Начальная сумма цен товара, работы, услуги: 123.54 РОССИЙСКИЙ РУБЛЬ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Не установлены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2 Требования к участникам закупок в соответствии с ч. 1.1 ст. 31 Закона № 44-ФЗ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Применение национального режима по ст. 14 Закона № 44-ФЗ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i/>
                <w:iCs/>
                <w:color w:val="000000"/>
                <w:sz w:val="11"/>
                <w:szCs w:val="11"/>
                <w:lang w:eastAsia="ru-RU"/>
              </w:rPr>
      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1875.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tbl>
            <w:tblPr>
              <w:tblW w:w="98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25"/>
              <w:gridCol w:w="5367"/>
              <w:gridCol w:w="1764"/>
            </w:tblGrid>
            <w:tr w:rsidR="0030513E" w:rsidRPr="0030513E">
              <w:tc>
                <w:tcPr>
                  <w:tcW w:w="2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Объект закупки</w:t>
                  </w:r>
                </w:p>
              </w:tc>
              <w:tc>
                <w:tcPr>
                  <w:tcW w:w="3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</w:t>
                  </w: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19.20.21.100-00000005</w:t>
                  </w: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Бензин автомобильный (розничная реализация)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Преимущество в отношении товаров российского происхождения, выполняемых работ, оказываемых услуг российскими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0513E" w:rsidRPr="0030513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19.20.21.100-00000006</w:t>
                  </w: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Бензин автомобильный (розничная реализация)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5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Преимущество в отношении товаров российского происхождения, выполняемых работ, оказываемых услуг российскими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47" w:type="dxa"/>
                    <w:left w:w="47" w:type="dxa"/>
                    <w:bottom w:w="47" w:type="dxa"/>
                    <w:right w:w="47" w:type="dxa"/>
                  </w:tcMar>
                  <w:vAlign w:val="center"/>
                  <w:hideMark/>
                </w:tcPr>
                <w:p w:rsidR="0030513E" w:rsidRPr="0030513E" w:rsidRDefault="0030513E" w:rsidP="0030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513E" w:rsidRPr="0030513E" w:rsidTr="0030513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0" w:type="dxa"/>
              <w:bottom w:w="0" w:type="dxa"/>
              <w:right w:w="94" w:type="dxa"/>
            </w:tcMar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Обоснование начальной (максимальной) цены контракта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 ОБОСНОВАНИЕ нмцк.pdf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Проект контракта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 Проект контракта.doc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Описание объекта закупки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 Описание объекта закупки.docx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Требования к содержанию, составу заявки на участие в закупке</w:t>
            </w:r>
          </w:p>
          <w:p w:rsidR="0030513E" w:rsidRPr="0030513E" w:rsidRDefault="0030513E" w:rsidP="0030513E">
            <w:pPr>
              <w:spacing w:before="140" w:after="14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1 Требования к составу заявки №2025.005596.docx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b/>
                <w:bCs/>
                <w:color w:val="000000"/>
                <w:sz w:val="11"/>
                <w:szCs w:val="11"/>
                <w:bdr w:val="none" w:sz="0" w:space="0" w:color="auto" w:frame="1"/>
                <w:lang w:eastAsia="ru-RU"/>
              </w:rPr>
              <w:t>Дополнительная информация и документы</w:t>
            </w:r>
          </w:p>
          <w:p w:rsidR="0030513E" w:rsidRPr="0030513E" w:rsidRDefault="0030513E" w:rsidP="003051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</w:pPr>
            <w:r w:rsidRPr="0030513E">
              <w:rPr>
                <w:rFonts w:ascii="Tahoma" w:eastAsia="Times New Roman" w:hAnsi="Tahoma" w:cs="Tahoma"/>
                <w:color w:val="000000"/>
                <w:sz w:val="11"/>
                <w:szCs w:val="11"/>
                <w:lang w:eastAsia="ru-RU"/>
              </w:rPr>
              <w:t>Документы не прикреплены</w:t>
            </w: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513E" w:rsidRPr="0030513E" w:rsidRDefault="0030513E" w:rsidP="003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DDA" w:rsidRDefault="00FF4DDA"/>
    <w:sectPr w:rsidR="00FF4DDA" w:rsidSect="00FF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savePreviewPicture/>
  <w:compat/>
  <w:rsids>
    <w:rsidRoot w:val="0030513E"/>
    <w:rsid w:val="0030513E"/>
    <w:rsid w:val="00A127DD"/>
    <w:rsid w:val="00BC6861"/>
    <w:rsid w:val="00BF794F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0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2313</Words>
  <Characters>13186</Characters>
  <Application>Microsoft Office Word</Application>
  <DocSecurity>0</DocSecurity>
  <Lines>109</Lines>
  <Paragraphs>30</Paragraphs>
  <ScaleCrop>false</ScaleCrop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2025-02-03T10:36:00Z</cp:lastPrinted>
  <dcterms:created xsi:type="dcterms:W3CDTF">2025-02-13T05:15:00Z</dcterms:created>
  <dcterms:modified xsi:type="dcterms:W3CDTF">2025-02-13T05:15:00Z</dcterms:modified>
</cp:coreProperties>
</file>