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C5D" w:rsidRDefault="00E73C5D" w:rsidP="002E6D9B">
      <w:pPr>
        <w:spacing w:after="0" w:line="240" w:lineRule="auto"/>
        <w:ind w:firstLine="709"/>
        <w:jc w:val="center"/>
        <w:rPr>
          <w:rFonts w:ascii="Times New Roman" w:hAnsi="Times New Roman" w:cs="Times New Roman"/>
          <w:b/>
          <w:color w:val="FF0000"/>
          <w:sz w:val="28"/>
          <w:szCs w:val="28"/>
        </w:rPr>
      </w:pPr>
    </w:p>
    <w:p w:rsidR="00E73C5D" w:rsidRDefault="00E73C5D" w:rsidP="00E73C5D">
      <w:pPr>
        <w:suppressAutoHyphens w:val="0"/>
        <w:spacing w:after="0" w:line="240" w:lineRule="auto"/>
        <w:ind w:firstLine="709"/>
        <w:jc w:val="center"/>
        <w:rPr>
          <w:rFonts w:ascii="Times New Roman" w:eastAsia="Times New Roman" w:hAnsi="Times New Roman" w:cs="Times New Roman"/>
          <w:b/>
          <w:bCs/>
          <w:sz w:val="28"/>
          <w:szCs w:val="28"/>
          <w:lang w:eastAsia="ru-RU"/>
        </w:rPr>
      </w:pPr>
      <w:r w:rsidRPr="00E73C5D">
        <w:rPr>
          <w:rFonts w:ascii="Times New Roman" w:eastAsia="Times New Roman" w:hAnsi="Times New Roman" w:cs="Times New Roman"/>
          <w:b/>
          <w:bCs/>
          <w:sz w:val="28"/>
          <w:szCs w:val="28"/>
          <w:lang w:eastAsia="ru-RU"/>
        </w:rPr>
        <w:t>С 1 сентября 2024 года актуализируется порядок создания и ведения государственного реестра объектов, оказывающих негативное воздействие на окружающую среду</w:t>
      </w:r>
    </w:p>
    <w:p w:rsidR="00E73C5D" w:rsidRPr="00E73C5D" w:rsidRDefault="00E73C5D" w:rsidP="00E73C5D">
      <w:pPr>
        <w:suppressAutoHyphens w:val="0"/>
        <w:spacing w:after="0" w:line="240" w:lineRule="auto"/>
        <w:ind w:firstLine="709"/>
        <w:jc w:val="both"/>
        <w:rPr>
          <w:rFonts w:ascii="Times New Roman" w:eastAsia="Times New Roman" w:hAnsi="Times New Roman" w:cs="Times New Roman"/>
          <w:b/>
          <w:bCs/>
          <w:sz w:val="28"/>
          <w:szCs w:val="28"/>
          <w:lang w:eastAsia="ru-RU"/>
        </w:rPr>
      </w:pPr>
    </w:p>
    <w:p w:rsidR="00E73C5D" w:rsidRPr="00E73C5D" w:rsidRDefault="00E73C5D" w:rsidP="00E73C5D">
      <w:pPr>
        <w:spacing w:after="0" w:line="240" w:lineRule="auto"/>
        <w:ind w:firstLine="709"/>
        <w:jc w:val="both"/>
        <w:rPr>
          <w:rFonts w:ascii="Times New Roman" w:eastAsia="Times New Roman" w:hAnsi="Times New Roman" w:cs="Times New Roman"/>
          <w:sz w:val="28"/>
          <w:szCs w:val="28"/>
          <w:lang w:eastAsia="ru-RU"/>
        </w:rPr>
      </w:pPr>
      <w:r w:rsidRPr="00E73C5D">
        <w:rPr>
          <w:rFonts w:ascii="Times New Roman" w:hAnsi="Times New Roman" w:cs="Times New Roman"/>
          <w:sz w:val="28"/>
          <w:szCs w:val="28"/>
        </w:rPr>
        <w:t>Постановление</w:t>
      </w:r>
      <w:r w:rsidRPr="00E73C5D">
        <w:rPr>
          <w:rFonts w:ascii="Times New Roman" w:hAnsi="Times New Roman" w:cs="Times New Roman"/>
          <w:sz w:val="28"/>
          <w:szCs w:val="28"/>
        </w:rPr>
        <w:t>м</w:t>
      </w:r>
      <w:r w:rsidRPr="00E73C5D">
        <w:rPr>
          <w:rFonts w:ascii="Times New Roman" w:hAnsi="Times New Roman" w:cs="Times New Roman"/>
          <w:sz w:val="28"/>
          <w:szCs w:val="28"/>
        </w:rPr>
        <w:t xml:space="preserve"> Правительства РФ от 15.04.2024 N 473</w:t>
      </w:r>
      <w:r w:rsidRPr="00E73C5D">
        <w:rPr>
          <w:rFonts w:ascii="Times New Roman" w:hAnsi="Times New Roman" w:cs="Times New Roman"/>
          <w:sz w:val="28"/>
          <w:szCs w:val="28"/>
        </w:rPr>
        <w:t xml:space="preserve"> </w:t>
      </w:r>
      <w:r w:rsidRPr="00E73C5D">
        <w:rPr>
          <w:rFonts w:ascii="Times New Roman" w:hAnsi="Times New Roman" w:cs="Times New Roman"/>
          <w:sz w:val="28"/>
          <w:szCs w:val="28"/>
        </w:rPr>
        <w:t>"О внесении изменений в постановление Правительства Российской Федерации от 7 мая 2022 г. N 830</w:t>
      </w:r>
      <w:r w:rsidRPr="00E73C5D">
        <w:rPr>
          <w:rFonts w:ascii="Times New Roman" w:hAnsi="Times New Roman" w:cs="Times New Roman"/>
          <w:sz w:val="28"/>
          <w:szCs w:val="28"/>
        </w:rPr>
        <w:t xml:space="preserve"> в</w:t>
      </w:r>
      <w:r w:rsidRPr="00E73C5D">
        <w:rPr>
          <w:rFonts w:ascii="Times New Roman" w:eastAsia="Times New Roman" w:hAnsi="Times New Roman" w:cs="Times New Roman"/>
          <w:sz w:val="28"/>
          <w:szCs w:val="28"/>
          <w:lang w:eastAsia="ru-RU"/>
        </w:rPr>
        <w:t>несены поправки, направленные на реализацию Федерального закона от 25.12.2023 N 622-ФЗ "О внесении изменений в Федеральный закон "Об охране окружающей среды" и отдельные законодательные акты Российской Федерации".</w:t>
      </w:r>
    </w:p>
    <w:p w:rsidR="00E73C5D" w:rsidRPr="00E73C5D" w:rsidRDefault="00E73C5D" w:rsidP="00E73C5D">
      <w:pPr>
        <w:suppressAutoHyphens w:val="0"/>
        <w:spacing w:after="0" w:line="240" w:lineRule="auto"/>
        <w:ind w:firstLine="709"/>
        <w:jc w:val="both"/>
        <w:rPr>
          <w:rFonts w:ascii="Times New Roman" w:eastAsia="Times New Roman" w:hAnsi="Times New Roman" w:cs="Times New Roman"/>
          <w:sz w:val="28"/>
          <w:szCs w:val="28"/>
          <w:lang w:eastAsia="ru-RU"/>
        </w:rPr>
      </w:pPr>
      <w:r w:rsidRPr="00E73C5D">
        <w:rPr>
          <w:rFonts w:ascii="Times New Roman" w:eastAsia="Times New Roman" w:hAnsi="Times New Roman" w:cs="Times New Roman"/>
          <w:sz w:val="28"/>
          <w:szCs w:val="28"/>
          <w:lang w:eastAsia="ru-RU"/>
        </w:rPr>
        <w:t>Уполномоченные органы должны обеспечить исключение учетных сведений об объектах НВОС IV категории, включенных в государственный реестр объектов, оказывающих негативное воздействие на окружающую среду, до вступления в силу настоящего документа, с уведомлением юрлиц и ИП, осуществляющих деятельность на таких объектах.</w:t>
      </w:r>
    </w:p>
    <w:p w:rsidR="00E73C5D" w:rsidRDefault="00E73C5D" w:rsidP="00E73C5D">
      <w:pPr>
        <w:spacing w:after="0" w:line="240" w:lineRule="auto"/>
        <w:ind w:firstLine="709"/>
        <w:jc w:val="both"/>
        <w:rPr>
          <w:rFonts w:ascii="Times New Roman" w:hAnsi="Times New Roman" w:cs="Times New Roman"/>
          <w:b/>
          <w:color w:val="FF0000"/>
          <w:sz w:val="28"/>
          <w:szCs w:val="28"/>
        </w:rPr>
      </w:pPr>
    </w:p>
    <w:p w:rsidR="00C57DA2" w:rsidRDefault="00C57DA2" w:rsidP="00E73C5D">
      <w:pPr>
        <w:spacing w:after="0" w:line="240" w:lineRule="auto"/>
        <w:ind w:firstLine="709"/>
        <w:jc w:val="both"/>
        <w:rPr>
          <w:rFonts w:ascii="Times New Roman" w:hAnsi="Times New Roman" w:cs="Times New Roman"/>
          <w:b/>
          <w:color w:val="FF0000"/>
          <w:sz w:val="28"/>
          <w:szCs w:val="28"/>
        </w:rPr>
      </w:pPr>
    </w:p>
    <w:p w:rsidR="00C57DA2" w:rsidRPr="00C57DA2" w:rsidRDefault="00F82B82" w:rsidP="00C57DA2">
      <w:pPr>
        <w:suppressAutoHyphens w:val="0"/>
        <w:spacing w:after="0" w:line="18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Утверждено</w:t>
      </w:r>
      <w:r w:rsidR="00C57DA2" w:rsidRPr="00C57DA2">
        <w:rPr>
          <w:rFonts w:ascii="Times New Roman" w:eastAsia="Times New Roman" w:hAnsi="Times New Roman" w:cs="Times New Roman"/>
          <w:b/>
          <w:bCs/>
          <w:sz w:val="28"/>
          <w:szCs w:val="28"/>
          <w:lang w:eastAsia="ru-RU"/>
        </w:rPr>
        <w:t xml:space="preserve"> постановление о распространении программы социальной газификации на СНТ</w:t>
      </w:r>
    </w:p>
    <w:p w:rsidR="00C57DA2" w:rsidRPr="00C57DA2" w:rsidRDefault="00C57DA2" w:rsidP="00C57DA2">
      <w:pPr>
        <w:suppressAutoHyphens w:val="0"/>
        <w:spacing w:after="0" w:line="105" w:lineRule="atLeast"/>
        <w:rPr>
          <w:rFonts w:ascii="Times New Roman" w:eastAsia="Times New Roman" w:hAnsi="Times New Roman" w:cs="Times New Roman"/>
          <w:sz w:val="28"/>
          <w:szCs w:val="28"/>
          <w:lang w:eastAsia="ru-RU"/>
        </w:rPr>
      </w:pPr>
      <w:r w:rsidRPr="00C57DA2">
        <w:rPr>
          <w:rFonts w:ascii="Times New Roman" w:eastAsia="Times New Roman" w:hAnsi="Times New Roman" w:cs="Times New Roman"/>
          <w:sz w:val="28"/>
          <w:szCs w:val="28"/>
          <w:lang w:eastAsia="ru-RU"/>
        </w:rPr>
        <w:t> </w:t>
      </w:r>
    </w:p>
    <w:p w:rsidR="00C57DA2" w:rsidRPr="00C57DA2" w:rsidRDefault="00F82B82" w:rsidP="00C57DA2">
      <w:pPr>
        <w:pStyle w:val="ab"/>
        <w:spacing w:before="0" w:after="0"/>
        <w:ind w:firstLine="709"/>
        <w:jc w:val="both"/>
        <w:rPr>
          <w:sz w:val="28"/>
          <w:szCs w:val="28"/>
        </w:rPr>
      </w:pPr>
      <w:r>
        <w:rPr>
          <w:sz w:val="28"/>
          <w:szCs w:val="28"/>
        </w:rPr>
        <w:t xml:space="preserve">Согласно </w:t>
      </w:r>
      <w:r w:rsidR="00C57DA2" w:rsidRPr="00C57DA2">
        <w:rPr>
          <w:sz w:val="28"/>
          <w:szCs w:val="28"/>
        </w:rPr>
        <w:t>Постановлени</w:t>
      </w:r>
      <w:r>
        <w:rPr>
          <w:sz w:val="28"/>
          <w:szCs w:val="28"/>
        </w:rPr>
        <w:t xml:space="preserve">ю </w:t>
      </w:r>
      <w:r w:rsidR="00C57DA2" w:rsidRPr="00C57DA2">
        <w:rPr>
          <w:sz w:val="28"/>
          <w:szCs w:val="28"/>
        </w:rPr>
        <w:t>Правительства РФ от 15.04.2024 N 473</w:t>
      </w:r>
      <w:r w:rsidR="00C57DA2" w:rsidRPr="00C57DA2">
        <w:rPr>
          <w:sz w:val="28"/>
          <w:szCs w:val="28"/>
        </w:rPr>
        <w:br/>
        <w:t>"О внесении изменений в постановление Правительства Российской Федерации от 7 мая 2022 г. N 830"</w:t>
      </w:r>
      <w:r w:rsidR="00C57DA2" w:rsidRPr="00C57DA2">
        <w:rPr>
          <w:sz w:val="28"/>
          <w:szCs w:val="28"/>
        </w:rPr>
        <w:t xml:space="preserve"> 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осуществляется бесплатно при условии, что домовладение заявителя располагается в границах территории ведения гражданами садоводства для собственных нужд, находящейся в границах населенного пункта, в котором проложены газораспределительные сети, по которым осуществляется транспортировка газа, или программой газификации ЖКХ,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оно расположено.</w:t>
      </w:r>
    </w:p>
    <w:p w:rsidR="00C57DA2" w:rsidRDefault="00C57DA2" w:rsidP="00C57DA2">
      <w:pPr>
        <w:spacing w:after="0" w:line="240" w:lineRule="auto"/>
        <w:ind w:firstLine="709"/>
        <w:jc w:val="center"/>
        <w:rPr>
          <w:rFonts w:ascii="Times New Roman" w:hAnsi="Times New Roman" w:cs="Times New Roman"/>
          <w:b/>
          <w:color w:val="FF0000"/>
          <w:sz w:val="28"/>
          <w:szCs w:val="28"/>
        </w:rPr>
      </w:pPr>
      <w:bookmarkStart w:id="0" w:name="_GoBack"/>
      <w:bookmarkEnd w:id="0"/>
    </w:p>
    <w:p w:rsidR="00E73C5D" w:rsidRDefault="00E73C5D" w:rsidP="002E6D9B">
      <w:pPr>
        <w:spacing w:after="0" w:line="240" w:lineRule="auto"/>
        <w:ind w:firstLine="709"/>
        <w:jc w:val="center"/>
        <w:rPr>
          <w:rFonts w:ascii="Times New Roman" w:hAnsi="Times New Roman" w:cs="Times New Roman"/>
          <w:b/>
          <w:color w:val="FF0000"/>
          <w:sz w:val="28"/>
          <w:szCs w:val="28"/>
        </w:rPr>
      </w:pPr>
    </w:p>
    <w:p w:rsidR="00D07981" w:rsidRPr="003C660D" w:rsidRDefault="002E6D9B" w:rsidP="002E6D9B">
      <w:pPr>
        <w:spacing w:after="0" w:line="240" w:lineRule="auto"/>
        <w:ind w:firstLine="709"/>
        <w:jc w:val="center"/>
        <w:rPr>
          <w:rFonts w:ascii="Times New Roman" w:hAnsi="Times New Roman" w:cs="Times New Roman"/>
          <w:b/>
          <w:sz w:val="28"/>
          <w:szCs w:val="28"/>
        </w:rPr>
      </w:pPr>
      <w:r w:rsidRPr="003C660D">
        <w:rPr>
          <w:rFonts w:ascii="Times New Roman" w:hAnsi="Times New Roman" w:cs="Times New Roman"/>
          <w:b/>
          <w:sz w:val="28"/>
          <w:szCs w:val="28"/>
        </w:rPr>
        <w:t>Верховным Судом Российской Федерации даны разъяснения в каких случаях рубка лесных насаждений признается незаконной</w:t>
      </w:r>
    </w:p>
    <w:p w:rsidR="00D07981" w:rsidRPr="003C660D" w:rsidRDefault="00D07981" w:rsidP="002E6D9B">
      <w:pPr>
        <w:spacing w:after="0" w:line="240" w:lineRule="auto"/>
        <w:ind w:firstLine="709"/>
        <w:jc w:val="center"/>
        <w:rPr>
          <w:rFonts w:ascii="Times New Roman" w:hAnsi="Times New Roman" w:cs="Times New Roman"/>
          <w:b/>
          <w:sz w:val="28"/>
          <w:szCs w:val="28"/>
        </w:rPr>
      </w:pPr>
    </w:p>
    <w:p w:rsidR="00D07981" w:rsidRPr="003C660D" w:rsidRDefault="002E6D9B" w:rsidP="002E6D9B">
      <w:pPr>
        <w:pStyle w:val="a5"/>
        <w:spacing w:after="0" w:line="240" w:lineRule="auto"/>
        <w:ind w:firstLine="709"/>
        <w:jc w:val="both"/>
        <w:rPr>
          <w:rFonts w:ascii="Times New Roman" w:hAnsi="Times New Roman" w:cs="Times New Roman"/>
          <w:sz w:val="28"/>
          <w:szCs w:val="28"/>
        </w:rPr>
      </w:pPr>
      <w:r w:rsidRPr="003C660D">
        <w:rPr>
          <w:rFonts w:ascii="Times New Roman" w:hAnsi="Times New Roman" w:cs="Times New Roman"/>
          <w:sz w:val="28"/>
          <w:szCs w:val="28"/>
        </w:rPr>
        <w:t>Постановлением Пленума Верховного Суда Российской Федерации</w:t>
      </w:r>
      <w:r w:rsidRPr="003C660D">
        <w:rPr>
          <w:rFonts w:ascii="Times New Roman" w:hAnsi="Times New Roman" w:cs="Times New Roman"/>
          <w:sz w:val="28"/>
          <w:szCs w:val="28"/>
        </w:rPr>
        <w:br/>
        <w:t xml:space="preserve">от 15.12.2022 № 38 «О внесении изменений в некоторые постановления Пленума Верховного Суда Российской Федерации по уголовным делам» </w:t>
      </w:r>
      <w:r w:rsidRPr="003C660D">
        <w:rPr>
          <w:rFonts w:ascii="Times New Roman" w:hAnsi="Times New Roman" w:cs="Times New Roman"/>
          <w:sz w:val="28"/>
          <w:szCs w:val="28"/>
        </w:rPr>
        <w:lastRenderedPageBreak/>
        <w:t>внесены изменения в постановление Пленума Верховного Суда Российской Федерации от 18.10.2012т№ 21 «О применении судами законодательства об ответственности за нарушения в области охраны окружающей среды и природопользования».</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Разъяснено, что под рубкой лесных насаждений и (или) не отнесенных</w:t>
      </w:r>
      <w:r w:rsidRPr="002E6D9B">
        <w:rPr>
          <w:rFonts w:ascii="Times New Roman" w:hAnsi="Times New Roman" w:cs="Times New Roman"/>
          <w:sz w:val="28"/>
          <w:szCs w:val="28"/>
        </w:rPr>
        <w:br/>
        <w:t>к лесным насаждениям деревьев, кустарников и лиан следует понимать их валку</w:t>
      </w:r>
      <w:r>
        <w:rPr>
          <w:rFonts w:ascii="Times New Roman" w:hAnsi="Times New Roman" w:cs="Times New Roman"/>
          <w:sz w:val="28"/>
          <w:szCs w:val="28"/>
        </w:rPr>
        <w:t xml:space="preserve"> </w:t>
      </w:r>
      <w:r w:rsidRPr="002E6D9B">
        <w:rPr>
          <w:rFonts w:ascii="Times New Roman" w:hAnsi="Times New Roman" w:cs="Times New Roman"/>
          <w:sz w:val="28"/>
          <w:szCs w:val="28"/>
        </w:rPr>
        <w:t xml:space="preserve">(в том числе спиливание, срубание, срезание, то есть отделение различными способами ствола дерева, стебля кустарника и лианы от корня), а также иные технологически связанные с ней процессы (включая трелевку, первичную обработку и (или) хранение древесины в лесу), в результате которых образуется древесина в виде лесоматериалов (например, хлыстов, сортиментов).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Незаконной является рубка указанных насаждений с нарушением требований законодательства, например рубка лесных насаждений без оформления необходимых документов (в частности, договора аренды, решения о предоставлении лесного участка, проекта освоения лесов, получившего положительное заключение государственной или муниципальной экспертизы, договора купли-продажи лесных насаждений, государственного или муниципального контракта на выполнение работ по охране, защите, воспроизводству лесов), либо в объеме, превышающем разрешенный в договоре аренды лесного участка, договоре купли-продажи лесных насаждений, либо с нарушением породного или возрастного состава, либо</w:t>
      </w:r>
      <w:r>
        <w:rPr>
          <w:rFonts w:ascii="Times New Roman" w:hAnsi="Times New Roman" w:cs="Times New Roman"/>
          <w:sz w:val="28"/>
          <w:szCs w:val="28"/>
        </w:rPr>
        <w:t xml:space="preserve"> </w:t>
      </w:r>
      <w:r w:rsidRPr="002E6D9B">
        <w:rPr>
          <w:rFonts w:ascii="Times New Roman" w:hAnsi="Times New Roman" w:cs="Times New Roman"/>
          <w:sz w:val="28"/>
          <w:szCs w:val="28"/>
        </w:rPr>
        <w:t xml:space="preserve">за пределами лесосеки, либо с нарушением установленного срока начала рубки.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Незаконной является также рубка, осуществляемая на основании представленных в органы, принимающие решение о возможности проведения рубки, заведомо для виновного подложных документов на использование лесов.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При этом договор аренды лесного участка или решение о предоставлении лесного участка на иных правах для заготовки древесины либо других видов использования лесов не являются достаточным правовым основанием для проведения рубок лесных насаждений. В частности, рубка лесных насаждений арендатором лесного участка считается незаконной в тех случаях, когда у него отсутствуют необходимые документы для рубки лесных насаждений на арендованном участке (например, проект освоения лесов, получивший положительное заключение государственной или муниципальной экспертизы) либо такой вид и (или) форма рубки не предусмотрены указанными документами.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Незаконной признается и рубка лесных насаждений, произрастающих</w:t>
      </w:r>
      <w:r w:rsidRPr="002E6D9B">
        <w:rPr>
          <w:rFonts w:ascii="Times New Roman" w:hAnsi="Times New Roman" w:cs="Times New Roman"/>
          <w:sz w:val="28"/>
          <w:szCs w:val="28"/>
        </w:rPr>
        <w:br/>
        <w:t xml:space="preserve">в лесах, расположенных на землях сельскохозяйственного назначения, осуществляемая правообладателями земельных участков (например, арендаторами, пользователями) при отсутствии утвержденного в установленном порядке проекта </w:t>
      </w:r>
      <w:proofErr w:type="spellStart"/>
      <w:r w:rsidRPr="002E6D9B">
        <w:rPr>
          <w:rFonts w:ascii="Times New Roman" w:hAnsi="Times New Roman" w:cs="Times New Roman"/>
          <w:sz w:val="28"/>
          <w:szCs w:val="28"/>
        </w:rPr>
        <w:t>культуртехнической</w:t>
      </w:r>
      <w:proofErr w:type="spellEnd"/>
      <w:r w:rsidRPr="002E6D9B">
        <w:rPr>
          <w:rFonts w:ascii="Times New Roman" w:hAnsi="Times New Roman" w:cs="Times New Roman"/>
          <w:sz w:val="28"/>
          <w:szCs w:val="28"/>
        </w:rPr>
        <w:t xml:space="preserve"> мелиорации (за исключением случаев, когда рубка лесных насаждений осуществляется на основании проекта освоения лесов), а также</w:t>
      </w:r>
      <w:r w:rsidRPr="002E6D9B">
        <w:rPr>
          <w:rFonts w:ascii="Times New Roman" w:hAnsi="Times New Roman" w:cs="Times New Roman"/>
          <w:sz w:val="28"/>
          <w:szCs w:val="28"/>
        </w:rPr>
        <w:br/>
      </w:r>
      <w:r w:rsidRPr="002E6D9B">
        <w:rPr>
          <w:rFonts w:ascii="Times New Roman" w:hAnsi="Times New Roman" w:cs="Times New Roman"/>
          <w:sz w:val="28"/>
          <w:szCs w:val="28"/>
        </w:rPr>
        <w:lastRenderedPageBreak/>
        <w:t>с нарушением запретов и ограничений на рубку, установленных законодательством.</w:t>
      </w:r>
    </w:p>
    <w:p w:rsid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Также разъяснено, что не относятся к предмету указанных преступлений,</w:t>
      </w:r>
      <w:r>
        <w:rPr>
          <w:rFonts w:ascii="Times New Roman" w:hAnsi="Times New Roman" w:cs="Times New Roman"/>
          <w:sz w:val="28"/>
          <w:szCs w:val="28"/>
        </w:rPr>
        <w:t xml:space="preserve"> </w:t>
      </w:r>
      <w:r w:rsidRPr="002E6D9B">
        <w:rPr>
          <w:rFonts w:ascii="Times New Roman" w:hAnsi="Times New Roman" w:cs="Times New Roman"/>
          <w:sz w:val="28"/>
          <w:szCs w:val="28"/>
        </w:rPr>
        <w:t>в частности, деревья, кустарники и лианы, произрастающие на землях сельскохозяйственного назначения, используемых для ведения сельскохозяйственного производства и связанных с ним целей (за исключением мелиоративных защитных лесных насаждений), произрастающие на приусадебных земельных участках, на земельных участках, предоставленных для индивидуального жилищного, гаражного строительства, ведения личного подсобного и дачного хозяйства, садоводства, животноводства и огородничества, в лесных питомниках, питомниках плодовых, ягодных, декоративных и иных культур, если иное</w:t>
      </w:r>
      <w:r w:rsidRPr="002E6D9B">
        <w:rPr>
          <w:rFonts w:ascii="Times New Roman" w:hAnsi="Times New Roman" w:cs="Times New Roman"/>
          <w:sz w:val="28"/>
          <w:szCs w:val="28"/>
        </w:rPr>
        <w:br/>
        <w:t xml:space="preserve">не предусмотрено специальными нормативными правовыми актами.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Также</w:t>
      </w:r>
      <w:r>
        <w:rPr>
          <w:rFonts w:ascii="Times New Roman" w:hAnsi="Times New Roman" w:cs="Times New Roman"/>
          <w:sz w:val="28"/>
          <w:szCs w:val="28"/>
        </w:rPr>
        <w:t xml:space="preserve"> </w:t>
      </w:r>
      <w:r w:rsidRPr="002E6D9B">
        <w:rPr>
          <w:rFonts w:ascii="Times New Roman" w:hAnsi="Times New Roman" w:cs="Times New Roman"/>
          <w:sz w:val="28"/>
          <w:szCs w:val="28"/>
        </w:rPr>
        <w:t>не относятся к предмету преступлений, предусмотренных статьями 260 и 261 УК РФ, лесные насаждения, определенные для рубки в соответствии с договором купли-продажи лесных насаждений, договором аренды лесного участка, проектом освоения лесов, если их рубка произведена лицом, у которого отсутствуют необходимы</w:t>
      </w:r>
      <w:r>
        <w:rPr>
          <w:rFonts w:ascii="Times New Roman" w:hAnsi="Times New Roman" w:cs="Times New Roman"/>
          <w:sz w:val="28"/>
          <w:szCs w:val="28"/>
        </w:rPr>
        <w:t xml:space="preserve">е </w:t>
      </w:r>
      <w:r w:rsidRPr="002E6D9B">
        <w:rPr>
          <w:rFonts w:ascii="Times New Roman" w:hAnsi="Times New Roman" w:cs="Times New Roman"/>
          <w:sz w:val="28"/>
          <w:szCs w:val="28"/>
        </w:rPr>
        <w:t>для этого документы. Рубка указанных насаждений, а равно их уничтожение</w:t>
      </w:r>
      <w:r>
        <w:rPr>
          <w:rFonts w:ascii="Times New Roman" w:hAnsi="Times New Roman" w:cs="Times New Roman"/>
          <w:sz w:val="28"/>
          <w:szCs w:val="28"/>
        </w:rPr>
        <w:t xml:space="preserve"> </w:t>
      </w:r>
      <w:r w:rsidRPr="002E6D9B">
        <w:rPr>
          <w:rFonts w:ascii="Times New Roman" w:hAnsi="Times New Roman" w:cs="Times New Roman"/>
          <w:sz w:val="28"/>
          <w:szCs w:val="28"/>
        </w:rPr>
        <w:t>или повреждение при наличии к тому предусмотренных законом оснований могут быть квалифицированы как хищение либо уничтожение или повреждение чужого имущества.</w:t>
      </w:r>
    </w:p>
    <w:p w:rsidR="00D07981" w:rsidRPr="002E6D9B" w:rsidRDefault="00D07981" w:rsidP="002E6D9B">
      <w:pPr>
        <w:pStyle w:val="a5"/>
        <w:spacing w:after="0" w:line="240" w:lineRule="auto"/>
        <w:ind w:firstLine="709"/>
        <w:jc w:val="both"/>
        <w:rPr>
          <w:rFonts w:ascii="Times New Roman" w:hAnsi="Times New Roman" w:cs="Times New Roman"/>
          <w:sz w:val="28"/>
          <w:szCs w:val="28"/>
        </w:rPr>
      </w:pPr>
    </w:p>
    <w:p w:rsidR="00D07981" w:rsidRDefault="002E6D9B" w:rsidP="002E6D9B">
      <w:pPr>
        <w:pStyle w:val="a5"/>
        <w:spacing w:after="0" w:line="240" w:lineRule="auto"/>
        <w:ind w:firstLine="709"/>
        <w:jc w:val="both"/>
        <w:rPr>
          <w:rFonts w:ascii="Times New Roman" w:hAnsi="Times New Roman" w:cs="Times New Roman"/>
          <w:b/>
          <w:bCs/>
          <w:sz w:val="28"/>
          <w:szCs w:val="28"/>
        </w:rPr>
      </w:pPr>
      <w:r w:rsidRPr="002E6D9B">
        <w:rPr>
          <w:rFonts w:ascii="Times New Roman" w:hAnsi="Times New Roman" w:cs="Times New Roman"/>
          <w:b/>
          <w:bCs/>
          <w:sz w:val="28"/>
          <w:szCs w:val="28"/>
        </w:rPr>
        <w:t>Включение земель лесного фонда в границы населенных пунктов</w:t>
      </w:r>
      <w:r>
        <w:rPr>
          <w:rFonts w:ascii="Times New Roman" w:hAnsi="Times New Roman" w:cs="Times New Roman"/>
          <w:b/>
          <w:bCs/>
          <w:sz w:val="28"/>
          <w:szCs w:val="28"/>
        </w:rPr>
        <w:t>.</w:t>
      </w:r>
    </w:p>
    <w:p w:rsidR="002E6D9B" w:rsidRPr="002E6D9B" w:rsidRDefault="002E6D9B" w:rsidP="002E6D9B">
      <w:pPr>
        <w:pStyle w:val="a5"/>
        <w:spacing w:after="0" w:line="240" w:lineRule="auto"/>
        <w:ind w:firstLine="709"/>
        <w:jc w:val="both"/>
        <w:rPr>
          <w:rFonts w:ascii="Times New Roman" w:hAnsi="Times New Roman" w:cs="Times New Roman"/>
          <w:b/>
          <w:bCs/>
          <w:sz w:val="28"/>
          <w:szCs w:val="28"/>
        </w:rPr>
      </w:pP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Постановлением Конституционного Суда Российской Федерации</w:t>
      </w:r>
      <w:r w:rsidRPr="002E6D9B">
        <w:rPr>
          <w:rFonts w:ascii="Times New Roman" w:hAnsi="Times New Roman" w:cs="Times New Roman"/>
          <w:sz w:val="28"/>
          <w:szCs w:val="28"/>
        </w:rPr>
        <w:br/>
        <w:t xml:space="preserve">от 22.09.2023 № 45-П проверена конституционность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 Указанные положения признаны не противоречащими Конституции Российской Федерации.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Конституционный Суд отметил, что проект генерального плана муниципального образования в части включения в границы населенных пунктов земель лесного фонда не считается согласованным до тех пор, пока главой муниципального образования не будет получено заключение уполномоченного федерального органа исполнительной власти, содержащее положение о согласии</w:t>
      </w:r>
      <w:r>
        <w:rPr>
          <w:rFonts w:ascii="Times New Roman" w:hAnsi="Times New Roman" w:cs="Times New Roman"/>
          <w:sz w:val="28"/>
          <w:szCs w:val="28"/>
        </w:rPr>
        <w:t xml:space="preserve"> </w:t>
      </w:r>
      <w:r w:rsidRPr="002E6D9B">
        <w:rPr>
          <w:rFonts w:ascii="Times New Roman" w:hAnsi="Times New Roman" w:cs="Times New Roman"/>
          <w:sz w:val="28"/>
          <w:szCs w:val="28"/>
        </w:rPr>
        <w:t xml:space="preserve">с этим проектом, либо в согласительном или в судебном порядке не будет разрешен вопрос о необоснованности несогласия федерального органа исполнительной власти с этим проектом; уполномоченный федеральный орган исполнительной власти обязан направить главе муниципального образования заключение, содержащее положения о согласии с этим проектом или несогласии с ним с обоснованием причин такого решения, в установленный законом срок, а глава муниципального образования вправе требовать его предоставления, в том </w:t>
      </w:r>
      <w:r w:rsidRPr="002E6D9B">
        <w:rPr>
          <w:rFonts w:ascii="Times New Roman" w:hAnsi="Times New Roman" w:cs="Times New Roman"/>
          <w:sz w:val="28"/>
          <w:szCs w:val="28"/>
        </w:rPr>
        <w:lastRenderedPageBreak/>
        <w:t>числе оспаривая в судебном порядке бездействие федерального органа исполнительной власти, участвующего в процедуре согласования.</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Положения Градостроительного кодекса Российской Федерации</w:t>
      </w:r>
      <w:r w:rsidRPr="002E6D9B">
        <w:rPr>
          <w:rFonts w:ascii="Times New Roman" w:hAnsi="Times New Roman" w:cs="Times New Roman"/>
          <w:sz w:val="28"/>
          <w:szCs w:val="28"/>
        </w:rPr>
        <w:br/>
        <w:t xml:space="preserve">не исключают возможности в случае несоблюдения требования о таком согласовании признать в судебном порядке решение представительного органа муниципального образования об утверждении генерального плана не действующим в части включения в границы населенных пунктов земель лесного фонда.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Суд должен разрешать вопрос о неправомерности утверждения генерального плана в части включения земель (земельных участков из земель) лесного фонда в границы населенного пункта вариативно в отношении отдельных таких территорий на основе баланса права на благоприятную окружающую среду и правомочий Российской Федерации в сфере организации рационального использования лесов, с одной стороны, и прав частных лиц, включая право частной собственности, право на осуществление предпринимательской деятельности, право на жилище, а также потребностей социально-экономического развития муниципального образования (и конкретного населенного пункта), с другой стороны, при соблюдении нормативных требований к границам населенных пунктов.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Данное в настоящем Постановлении конституционное истолкование не распространяется автоматически на решение вопроса о форме и порядке согласования при утверждении документов территориального планирования в других аспектах, кроме связанных с землями лесного фонда. </w:t>
      </w:r>
    </w:p>
    <w:p w:rsidR="00D07981" w:rsidRPr="002E6D9B" w:rsidRDefault="00D07981" w:rsidP="002E6D9B">
      <w:pPr>
        <w:pStyle w:val="a5"/>
        <w:spacing w:after="0" w:line="240" w:lineRule="auto"/>
        <w:ind w:firstLine="709"/>
        <w:jc w:val="both"/>
        <w:rPr>
          <w:rFonts w:ascii="Times New Roman" w:hAnsi="Times New Roman" w:cs="Times New Roman"/>
          <w:sz w:val="28"/>
          <w:szCs w:val="28"/>
        </w:rPr>
      </w:pPr>
    </w:p>
    <w:p w:rsidR="00D07981" w:rsidRPr="002E6D9B" w:rsidRDefault="00D07981" w:rsidP="002E6D9B">
      <w:pPr>
        <w:pStyle w:val="a5"/>
        <w:spacing w:after="0" w:line="240" w:lineRule="auto"/>
        <w:ind w:firstLine="709"/>
        <w:jc w:val="both"/>
        <w:rPr>
          <w:rFonts w:ascii="Times New Roman" w:hAnsi="Times New Roman" w:cs="Times New Roman"/>
          <w:sz w:val="28"/>
          <w:szCs w:val="28"/>
        </w:rPr>
      </w:pPr>
    </w:p>
    <w:p w:rsidR="00D07981" w:rsidRPr="002E6D9B" w:rsidRDefault="00D07981" w:rsidP="002E6D9B">
      <w:pPr>
        <w:pStyle w:val="a5"/>
        <w:spacing w:after="0" w:line="240" w:lineRule="auto"/>
        <w:ind w:firstLine="709"/>
        <w:jc w:val="both"/>
        <w:rPr>
          <w:rFonts w:ascii="Times New Roman" w:hAnsi="Times New Roman" w:cs="Times New Roman"/>
          <w:sz w:val="28"/>
          <w:szCs w:val="28"/>
        </w:rPr>
      </w:pPr>
    </w:p>
    <w:p w:rsidR="00D07981" w:rsidRDefault="002E6D9B" w:rsidP="002E6D9B">
      <w:pPr>
        <w:pStyle w:val="a5"/>
        <w:spacing w:after="0" w:line="240" w:lineRule="auto"/>
        <w:ind w:firstLine="709"/>
        <w:jc w:val="center"/>
        <w:rPr>
          <w:rStyle w:val="a6"/>
          <w:rFonts w:ascii="Times New Roman" w:hAnsi="Times New Roman" w:cs="Times New Roman"/>
          <w:sz w:val="28"/>
          <w:szCs w:val="28"/>
        </w:rPr>
      </w:pPr>
      <w:r w:rsidRPr="002E6D9B">
        <w:rPr>
          <w:rStyle w:val="a6"/>
          <w:rFonts w:ascii="Times New Roman" w:hAnsi="Times New Roman" w:cs="Times New Roman"/>
          <w:sz w:val="28"/>
          <w:szCs w:val="28"/>
        </w:rPr>
        <w:t>Ответственность за безлицензионное пользование недрами или с нарушением условий, предусмотренных лицензией</w:t>
      </w:r>
      <w:r>
        <w:rPr>
          <w:rStyle w:val="a6"/>
          <w:rFonts w:ascii="Times New Roman" w:hAnsi="Times New Roman" w:cs="Times New Roman"/>
          <w:sz w:val="28"/>
          <w:szCs w:val="28"/>
        </w:rPr>
        <w:t>.</w:t>
      </w:r>
    </w:p>
    <w:p w:rsidR="002E6D9B" w:rsidRPr="002E6D9B" w:rsidRDefault="002E6D9B" w:rsidP="002E6D9B">
      <w:pPr>
        <w:pStyle w:val="a5"/>
        <w:spacing w:after="0" w:line="240" w:lineRule="auto"/>
        <w:ind w:firstLine="709"/>
        <w:jc w:val="center"/>
        <w:rPr>
          <w:rFonts w:ascii="Times New Roman" w:hAnsi="Times New Roman" w:cs="Times New Roman"/>
          <w:sz w:val="28"/>
          <w:szCs w:val="28"/>
        </w:rPr>
      </w:pP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соответствии со статьей 11 Закона РФ от 21.02.1992 № 2395-I «О недрах» (далее – Закон о недрах) 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определенных условий. Лицензия удостоверяет право проведения работ по геологическому изучению недр, разработки месторождений полезных ископаемых,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и т.д.</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lastRenderedPageBreak/>
        <w:t>Статьей 49 Закона о недрах установлено, что лица, виновные в нарушении законодательства Российской Федерации о недрах, несут административную, уголовную ответственность. Привлечение к ответственности не освобождает виновных лиц от обязанности устранить выявленное нарушение и возместить причиненный ими вред.</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Статьей 7.3 КоАП РФ предусмотрена административная ответственность за нарушения при использовании недр. За пользование недрами без лицензии в соответствии с частью 1 статьи 7.3 КоАП РФ предусмотрен штраф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За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нарушения ( часть 2 статьи 7.3 КоАП РФ) предусмотрен штраф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Нарушения правил охраны и использования недр, если эти деяния повлекли причинение значительного ущерба, образуют состав преступления, предусмотренного статьёй 255 Уголовного кодекса Российской Федерации. Максимальное наказание по части первой указанной статьи - исправительные работы на срок до двух лет. Если осуществление предпринимательской деятельности без лицензии причинило крупный ущерб гражданам, организациям или государству либо сопряжено с извлечением дохода в крупном размере, эти действия квалифицируются по статье 171 Уголовного кодекса Российской Федерации. Отягчают наказание действия, совершённые организованной группой, а также сопряжённые с извлечением дохода в особо крупном размере. В этом случае максимальное наказание - лишение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D07981" w:rsidRPr="002E6D9B" w:rsidRDefault="00D07981" w:rsidP="002E6D9B">
      <w:pPr>
        <w:spacing w:after="0" w:line="240" w:lineRule="auto"/>
        <w:ind w:firstLine="709"/>
        <w:jc w:val="both"/>
        <w:rPr>
          <w:rFonts w:ascii="Times New Roman" w:hAnsi="Times New Roman" w:cs="Times New Roman"/>
          <w:sz w:val="28"/>
          <w:szCs w:val="28"/>
        </w:rPr>
      </w:pPr>
    </w:p>
    <w:p w:rsidR="00D07981" w:rsidRDefault="002E6D9B" w:rsidP="002E6D9B">
      <w:pPr>
        <w:pStyle w:val="a5"/>
        <w:spacing w:after="0" w:line="240" w:lineRule="auto"/>
        <w:ind w:firstLine="709"/>
        <w:jc w:val="both"/>
        <w:rPr>
          <w:rFonts w:ascii="Times New Roman" w:hAnsi="Times New Roman" w:cs="Times New Roman"/>
          <w:sz w:val="28"/>
          <w:szCs w:val="28"/>
        </w:rPr>
      </w:pPr>
      <w:r w:rsidRPr="002E6D9B">
        <w:rPr>
          <w:rStyle w:val="a6"/>
          <w:rFonts w:ascii="Times New Roman" w:hAnsi="Times New Roman" w:cs="Times New Roman"/>
          <w:sz w:val="28"/>
          <w:szCs w:val="28"/>
        </w:rPr>
        <w:t>Упрощен порядок заключения договоров водопользования</w:t>
      </w:r>
      <w:r w:rsidRPr="002E6D9B">
        <w:rPr>
          <w:rFonts w:ascii="Times New Roman" w:hAnsi="Times New Roman" w:cs="Times New Roman"/>
          <w:sz w:val="28"/>
          <w:szCs w:val="28"/>
        </w:rPr>
        <w:t xml:space="preserve"> </w:t>
      </w:r>
    </w:p>
    <w:p w:rsidR="002E6D9B" w:rsidRPr="002E6D9B" w:rsidRDefault="002E6D9B" w:rsidP="002E6D9B">
      <w:pPr>
        <w:pStyle w:val="a5"/>
        <w:spacing w:after="0" w:line="240" w:lineRule="auto"/>
        <w:ind w:firstLine="709"/>
        <w:jc w:val="both"/>
        <w:rPr>
          <w:rFonts w:ascii="Times New Roman" w:hAnsi="Times New Roman" w:cs="Times New Roman"/>
          <w:sz w:val="28"/>
          <w:szCs w:val="28"/>
        </w:rPr>
      </w:pP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С 1 сентября 2023 года вступило в силу постановление Правительства Российской Федерации от 18.02.2023 № 274 «О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 силу некоторых актов и отдельных положений некоторых актов Правительства Российской Федерации».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Так, граждане, индивидуальные предприниматели, организации, осуществляющие деятельность в сфере судоремонта, детского отдыха и санаторно-курортного лечения, а также реализующие проекты в сфере гидроэнергетики смогут быстрее заключить договоры водопользования, для которых не нужно проведение аукциона, сроки предоставления этой госуслуги </w:t>
      </w:r>
      <w:r w:rsidRPr="002E6D9B">
        <w:rPr>
          <w:rFonts w:ascii="Times New Roman" w:hAnsi="Times New Roman" w:cs="Times New Roman"/>
          <w:sz w:val="28"/>
          <w:szCs w:val="28"/>
        </w:rPr>
        <w:lastRenderedPageBreak/>
        <w:t>сокращены с 30 календарных дней до 15 рабочих дней. Новыми правилами также предусмотрена возможность согласования условий водопользования и подготовки разрешительных документов в электронном виде, сокращен перечень документов, предоставляемых заявителем для оказания государственной услуги, если заявление о предоставлении водного объекта в пользование направляется в форме электронного документа с использованием единого или регионального портала госуслуг, а также ведомственных информационных систем.</w:t>
      </w:r>
    </w:p>
    <w:p w:rsidR="00D07981" w:rsidRPr="002E6D9B" w:rsidRDefault="00D07981" w:rsidP="002E6D9B">
      <w:pPr>
        <w:spacing w:after="0" w:line="240" w:lineRule="auto"/>
        <w:ind w:firstLine="709"/>
        <w:jc w:val="both"/>
        <w:rPr>
          <w:rFonts w:ascii="Times New Roman" w:hAnsi="Times New Roman" w:cs="Times New Roman"/>
          <w:sz w:val="28"/>
          <w:szCs w:val="28"/>
        </w:rPr>
      </w:pPr>
    </w:p>
    <w:p w:rsidR="00D07981" w:rsidRPr="002E6D9B" w:rsidRDefault="00D07981" w:rsidP="002E6D9B">
      <w:pPr>
        <w:spacing w:after="0" w:line="240" w:lineRule="auto"/>
        <w:ind w:firstLine="709"/>
        <w:jc w:val="both"/>
        <w:rPr>
          <w:rFonts w:ascii="Times New Roman" w:hAnsi="Times New Roman" w:cs="Times New Roman"/>
          <w:sz w:val="28"/>
          <w:szCs w:val="28"/>
        </w:rPr>
      </w:pPr>
    </w:p>
    <w:p w:rsidR="00D07981" w:rsidRDefault="002E6D9B" w:rsidP="002E6D9B">
      <w:pPr>
        <w:spacing w:after="0" w:line="240" w:lineRule="auto"/>
        <w:ind w:firstLine="709"/>
        <w:jc w:val="center"/>
        <w:rPr>
          <w:rFonts w:ascii="Times New Roman" w:hAnsi="Times New Roman" w:cs="Times New Roman"/>
          <w:b/>
          <w:sz w:val="28"/>
          <w:szCs w:val="28"/>
        </w:rPr>
      </w:pPr>
      <w:r w:rsidRPr="002E6D9B">
        <w:rPr>
          <w:rFonts w:ascii="Times New Roman" w:hAnsi="Times New Roman" w:cs="Times New Roman"/>
          <w:b/>
          <w:sz w:val="28"/>
          <w:szCs w:val="28"/>
        </w:rPr>
        <w:t>Уголовная ответственность за незаконный оборот оружия и боеприпасов</w:t>
      </w:r>
    </w:p>
    <w:p w:rsidR="002E6D9B" w:rsidRPr="002E6D9B" w:rsidRDefault="002E6D9B" w:rsidP="002E6D9B">
      <w:pPr>
        <w:spacing w:after="0" w:line="240" w:lineRule="auto"/>
        <w:ind w:firstLine="709"/>
        <w:jc w:val="center"/>
        <w:rPr>
          <w:rFonts w:ascii="Times New Roman" w:hAnsi="Times New Roman" w:cs="Times New Roman"/>
          <w:b/>
          <w:sz w:val="28"/>
          <w:szCs w:val="28"/>
        </w:rPr>
      </w:pP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Среди всех видов преступлений, ответственность за совершение которых предусмотрена действующим уголовным законодательством Российской Федерации, особое место занимает незаконный оборот оружия, боеприпасов, взрывчатых веществ и взрывных устройств.</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Согласно статистическим данным МВД России и ФСБ России фиксируется рост нелегального распространения огнестрельного оружия, изготовленного путем переделки из гражданского оружия: сигнального, газового, ограниченного поражения, списанного (охолощенного или учебного). Более 60 процентов изъятого в результате проведенных оперативно-розыскных мероприятий оружия является гражданским, переоборудованным в боевые аналоги.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Анализ поступающей информации свидетельствует об образовании новой устойчивой методики обезличенного, массового и неконтролируемого распространения предметов вооружения по всей территории Российской Федерации с использованием информационно-телекоммуникационной сети «Интернет» (далее – сеть «Интернет»), что представляет потенциальную угрозу национальной безопасности. Практически 70 процентов зарегистрированных преступлений, связанных с незаконным оборотом оружия, совершено с использованием ресурсов сети «Интернет»», что обусловлено возможностью дистанционно и анонимно координировать незаконные операции, в том числе из-за рубежа.</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этой связи Федеральным законом от 01.07.2021 № 281-ФЗ существенно усилены меры наказания, предусмотренные статьями 222, 222.1, 223 и 223.1 УК РФ, целью чего является оказание превентивного воздействия на потенциальных преступников, сократить число подпольных мастерских по изготовлению взрывчатых веществ и взрывных устройств и, как следствие, минимизировать их поступление в незаконный оборот.</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Более того, при совершении указанных преступлений использование сети «Интернет» установлен как квалифицирующий признак.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Наказание за незаконное приобретение, передачу, хранение, перевозку, пересылку или ношение огнестрельного оружия, его основных частей и </w:t>
      </w:r>
      <w:r w:rsidRPr="002E6D9B">
        <w:rPr>
          <w:rFonts w:ascii="Times New Roman" w:hAnsi="Times New Roman" w:cs="Times New Roman"/>
          <w:sz w:val="28"/>
          <w:szCs w:val="28"/>
        </w:rPr>
        <w:lastRenderedPageBreak/>
        <w:t xml:space="preserve">боеприпасов к нему с использованием сети «Интернет» предусмотрено до 10 лет лишения свободы.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За те же действия в отношении крупнокалиберного огнестрельного оружия (вышеуказанным законом введена дополнительная статья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 – до 10 лет лишения свободы.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Уже за сбыт указанных предметов с использованием сети «Интернет» - до 12 лет лишения свободы.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За сбыт крупнокалиберного огнестрельного оружия с использованием сети «Интернет» - до 10 лет лишения свободы.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Наказание за приобретение, передачу, хранение, перевозку, пересылку или ношение взрывчатых веществ или взрывных устройств с использованием сети «Интернет» предусмотрено до 12 лет лишения свободы.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Уже за сбыт указанных предметов с использованием сети «Интернет» - до 15 лет лишения свободы.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Необходимо отметить, что состав преступления в форме сбыта, ранее присутствовавший в части 1 статьи 222 и части 1 статьи 222.1 УК РФ, выделен в отдельную часть 2 указанных статей и квалифицируется как тяжкое и особо тяжкое преступление соответственно. Наказание увеличено вдвое, с 4 до 8 лет лишения свободы в первом случае, и с 5 до 11 лет во втором случае.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Значительно увеличены сроки наказания и выделены в отдельные части по составам преступлений в форме «группой лиц по предварительному сговору», «сбыт, совершенный группой лиц по предварительному сговору», «организованной группой», «сбыт, совершенный организованной группой».</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К примеру, наказание за незаконное изготовление взрывчатых веществ, незаконные изготовление, переделка или ремонт взрывных устройств, совершенное группой лиц по предварительному сговору, предусмотренное частью 2 статьи 223.1 УК РФ, увеличено с 8 до 15 лет лишения свободы, за то же самое деяние, совершенное организованной группой, предусмотренное частью 3 статьи 223.1 УК РФ, увеличено с 12 до 20 лет лишения свободы.</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Кроме того, следует обратить внимание на внесенные вышеуказанным законом изменения в часть 4 статьи 222 УК РФ.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Установлена уголовная ответственность не только за 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но и за незаконный сбыт его основных частей и патронов к нему (за исключением механических распылителей, аэрозольных и других устройств, снаряженных слезоточивыми или раздражающими веществами), а также пневматического оружия с дульной энергией свыше 7,5 Дж, чего ранее не было.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Наказание за подобное деяние, предусмотренное частью 7 статьи 222 УК РФ, увеличилось с 2 до 4 лет лишение свободы.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При обнаружении (находке) огнестрельного оружия, его составных частей, боеприпасов, взрывчатых веществ и тем более взрывных устройств, </w:t>
      </w:r>
      <w:r w:rsidRPr="002E6D9B">
        <w:rPr>
          <w:rFonts w:ascii="Times New Roman" w:hAnsi="Times New Roman" w:cs="Times New Roman"/>
          <w:sz w:val="28"/>
          <w:szCs w:val="28"/>
        </w:rPr>
        <w:lastRenderedPageBreak/>
        <w:t>органы прокуратуры категорически не рекомендуют прикасаться к ним либо самостоятельно изымать их из места обнаружения. Находка может представлять опасность для жизни и здоровья, кроме того, обнаружение таких предметов у гражданина, может явиться основанием для привлечения его к уголовной ответственности по вышеперечисленным статьям Уголовного кодекса РФ.</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исследуемом случае необходимо незамедлительно вызвать на место обнаружения оружия, боеприпасов, взрывчатых веществ либо взрывных устройств сотрудников правоохранительных органов для надлежащего изъятия, обезвреживания (при необходимости) и документирования данного факта.</w:t>
      </w:r>
    </w:p>
    <w:p w:rsidR="00D07981" w:rsidRPr="002E6D9B" w:rsidRDefault="00D07981" w:rsidP="002E6D9B">
      <w:pPr>
        <w:spacing w:after="0" w:line="240" w:lineRule="auto"/>
        <w:ind w:firstLine="709"/>
        <w:jc w:val="both"/>
        <w:rPr>
          <w:rFonts w:ascii="Times New Roman" w:hAnsi="Times New Roman" w:cs="Times New Roman"/>
          <w:sz w:val="28"/>
          <w:szCs w:val="28"/>
        </w:rPr>
      </w:pPr>
    </w:p>
    <w:p w:rsidR="00D07981" w:rsidRPr="002E6D9B" w:rsidRDefault="002E6D9B" w:rsidP="002E6D9B">
      <w:pPr>
        <w:pStyle w:val="a5"/>
        <w:spacing w:after="0" w:line="240" w:lineRule="auto"/>
        <w:ind w:firstLine="709"/>
        <w:jc w:val="center"/>
        <w:rPr>
          <w:rFonts w:ascii="Times New Roman" w:hAnsi="Times New Roman" w:cs="Times New Roman"/>
          <w:sz w:val="28"/>
          <w:szCs w:val="28"/>
        </w:rPr>
      </w:pPr>
      <w:r w:rsidRPr="002E6D9B">
        <w:rPr>
          <w:rStyle w:val="a6"/>
          <w:rFonts w:ascii="Times New Roman" w:hAnsi="Times New Roman" w:cs="Times New Roman"/>
          <w:sz w:val="28"/>
          <w:szCs w:val="28"/>
        </w:rPr>
        <w:t>Сокращены сроки согласования и предоставления земельных участков, находящихся в государственной и муниципальной собственности</w:t>
      </w:r>
      <w:r>
        <w:rPr>
          <w:rStyle w:val="a6"/>
          <w:rFonts w:ascii="Times New Roman" w:hAnsi="Times New Roman" w:cs="Times New Roman"/>
          <w:sz w:val="28"/>
          <w:szCs w:val="28"/>
        </w:rPr>
        <w:t>.</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Вступили в силу изменения в Земельный кодекс Российской Федерации и статью 3.5 Федерального закона «О введении в действие Земельного кодекса Российской Федерации», которыми сокращены сроки согласования и предоставления земельных участков, находящихся в государственной и муниципальной собственности.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Так, с 30 до 20 дней сокращен срок рассмотрения уполномоченными органами поступивших от граждан и юридических лиц заявлений о предварительном согласовании предоставления земельных участков и о предоставлении земельных участков.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Также с 45 до 35 дней сокращен срок принятия решения, если схема расположения земельного участка на кадастровом плане территории подлежит согласованию.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Кроме того, Федеральным законом устанавливается, что собственники земельных участков и лица, не являющиеся собственниками земельных участков, обязаны 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D07981" w:rsidRPr="002E6D9B" w:rsidRDefault="00D07981" w:rsidP="002E6D9B">
      <w:pPr>
        <w:spacing w:after="0" w:line="240" w:lineRule="auto"/>
        <w:ind w:firstLine="709"/>
        <w:jc w:val="both"/>
        <w:rPr>
          <w:rFonts w:ascii="Times New Roman" w:hAnsi="Times New Roman" w:cs="Times New Roman"/>
          <w:sz w:val="28"/>
          <w:szCs w:val="28"/>
        </w:rPr>
      </w:pPr>
    </w:p>
    <w:p w:rsidR="00D07981" w:rsidRPr="002E6D9B" w:rsidRDefault="00D07981" w:rsidP="002E6D9B">
      <w:pPr>
        <w:pStyle w:val="a5"/>
        <w:spacing w:after="0" w:line="240" w:lineRule="auto"/>
        <w:ind w:firstLine="709"/>
        <w:jc w:val="both"/>
        <w:rPr>
          <w:rFonts w:ascii="Times New Roman" w:hAnsi="Times New Roman" w:cs="Times New Roman"/>
          <w:sz w:val="28"/>
          <w:szCs w:val="28"/>
        </w:rPr>
      </w:pPr>
    </w:p>
    <w:p w:rsidR="00D07981" w:rsidRPr="002E6D9B" w:rsidRDefault="002E6D9B" w:rsidP="002E6D9B">
      <w:pPr>
        <w:pStyle w:val="a5"/>
        <w:spacing w:after="0" w:line="240" w:lineRule="auto"/>
        <w:ind w:firstLine="709"/>
        <w:jc w:val="center"/>
        <w:rPr>
          <w:rFonts w:ascii="Times New Roman" w:hAnsi="Times New Roman" w:cs="Times New Roman"/>
          <w:b/>
          <w:sz w:val="28"/>
          <w:szCs w:val="28"/>
        </w:rPr>
      </w:pPr>
      <w:r w:rsidRPr="002E6D9B">
        <w:rPr>
          <w:rFonts w:ascii="Times New Roman" w:hAnsi="Times New Roman" w:cs="Times New Roman"/>
          <w:b/>
          <w:sz w:val="28"/>
          <w:szCs w:val="28"/>
        </w:rPr>
        <w:t>Ответственность за нарушение законодательства в сфере обращения с отходами</w:t>
      </w:r>
    </w:p>
    <w:p w:rsidR="00D07981" w:rsidRPr="002E6D9B" w:rsidRDefault="00D07981" w:rsidP="002E6D9B">
      <w:pPr>
        <w:pStyle w:val="a5"/>
        <w:spacing w:after="0" w:line="240" w:lineRule="auto"/>
        <w:ind w:firstLine="709"/>
        <w:jc w:val="both"/>
        <w:rPr>
          <w:rFonts w:ascii="Times New Roman" w:hAnsi="Times New Roman" w:cs="Times New Roman"/>
          <w:sz w:val="28"/>
          <w:szCs w:val="28"/>
        </w:rPr>
      </w:pP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Гражданско-правовая ответственность заключается в обязанности возмещения вреда окружающей среде, имуществу органов государственной власти, органов местного самоуправления, юридических лиц, здоровью и имуществу физических лиц, причиненного вследствие нарушения правил обращения с данными отходами.</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Статьи 1068, 1069 Гражданского кодекса Российской Федерации предусматривают гражданско-правовую ответственность </w:t>
      </w:r>
      <w:r w:rsidRPr="002E6D9B">
        <w:rPr>
          <w:rFonts w:ascii="Times New Roman" w:hAnsi="Times New Roman" w:cs="Times New Roman"/>
          <w:sz w:val="28"/>
          <w:szCs w:val="28"/>
        </w:rPr>
        <w:lastRenderedPageBreak/>
        <w:t>физических и юридических лиц вследствие причинения вреда, в том числе и в результате обращения с отходами.</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К работникам, которые допустили неисполнение или ненадлежащее исполнение возложенных на них трудовых обязанностей в области обращения с отходами работодатель имеет право применить следующие дисциплинарные взыскания: замечание; выговор; увольнение по соответствующим основаниям.</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Необходимо отметить, что привлечение к ответственности не освобождает виновное лицо от обязанности устранить допущенные нарушения требований в области обращения с отходами.</w:t>
      </w:r>
    </w:p>
    <w:p w:rsidR="00D07981" w:rsidRDefault="00D07981" w:rsidP="002E6D9B">
      <w:pPr>
        <w:spacing w:after="0" w:line="240" w:lineRule="auto"/>
        <w:ind w:firstLine="709"/>
        <w:jc w:val="both"/>
        <w:rPr>
          <w:rFonts w:ascii="Times New Roman" w:hAnsi="Times New Roman" w:cs="Times New Roman"/>
          <w:sz w:val="28"/>
          <w:szCs w:val="28"/>
        </w:rPr>
      </w:pPr>
    </w:p>
    <w:p w:rsidR="002E6D9B" w:rsidRPr="002E6D9B" w:rsidRDefault="002E6D9B" w:rsidP="002E6D9B">
      <w:pPr>
        <w:spacing w:after="0" w:line="240" w:lineRule="auto"/>
        <w:ind w:firstLine="709"/>
        <w:jc w:val="both"/>
        <w:rPr>
          <w:rFonts w:ascii="Times New Roman" w:hAnsi="Times New Roman" w:cs="Times New Roman"/>
          <w:sz w:val="28"/>
          <w:szCs w:val="28"/>
        </w:rPr>
      </w:pPr>
    </w:p>
    <w:p w:rsidR="00D07981" w:rsidRPr="002E6D9B" w:rsidRDefault="002E6D9B" w:rsidP="002E6D9B">
      <w:pPr>
        <w:spacing w:after="0" w:line="240" w:lineRule="auto"/>
        <w:ind w:firstLine="709"/>
        <w:jc w:val="center"/>
        <w:rPr>
          <w:rFonts w:ascii="Times New Roman" w:hAnsi="Times New Roman" w:cs="Times New Roman"/>
          <w:b/>
          <w:sz w:val="28"/>
          <w:szCs w:val="28"/>
        </w:rPr>
      </w:pPr>
      <w:r w:rsidRPr="002E6D9B">
        <w:rPr>
          <w:rFonts w:ascii="Times New Roman" w:hAnsi="Times New Roman" w:cs="Times New Roman"/>
          <w:b/>
          <w:sz w:val="28"/>
          <w:szCs w:val="28"/>
        </w:rPr>
        <w:t>Ответственность по ч. 2 ст. 7.30 КоАП РФ за нарушения при принятии заявок на участие в аукционе в сфере закупок.</w:t>
      </w:r>
    </w:p>
    <w:p w:rsidR="00D07981" w:rsidRPr="002E6D9B" w:rsidRDefault="00D07981" w:rsidP="002E6D9B">
      <w:pPr>
        <w:spacing w:after="0" w:line="240" w:lineRule="auto"/>
        <w:ind w:firstLine="709"/>
        <w:jc w:val="both"/>
        <w:rPr>
          <w:rFonts w:ascii="Times New Roman" w:hAnsi="Times New Roman" w:cs="Times New Roman"/>
          <w:sz w:val="28"/>
          <w:szCs w:val="28"/>
        </w:rPr>
      </w:pPr>
    </w:p>
    <w:p w:rsidR="00D07981" w:rsidRPr="002E6D9B" w:rsidRDefault="002E6D9B" w:rsidP="002E6D9B">
      <w:pPr>
        <w:pStyle w:val="a5"/>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Статьей 19.28 КоАП РФ установлена административная ответственность за незаконное вознаграждение от имени юридического лица.</w:t>
      </w:r>
    </w:p>
    <w:p w:rsidR="00D07981" w:rsidRPr="002E6D9B" w:rsidRDefault="002E6D9B" w:rsidP="002E6D9B">
      <w:pPr>
        <w:pStyle w:val="a5"/>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Состав данного правонарушения образуют незаконные передача, предложение или обещание денег, ценных бумаг, иного имущества, оказание услуг имущественного характера, предоставление имущественных прав, которое дается от имени или в интересах юридического лица, и поступает должностному лицу, иному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В свою очередь эти действия обусловлены совершением со стороны должностного лица какого-либо действия (или бездействия), связанного с занимаемым им служебным положением, в интересах юридического лица.</w:t>
      </w:r>
    </w:p>
    <w:p w:rsidR="00D07981" w:rsidRPr="002E6D9B" w:rsidRDefault="002E6D9B" w:rsidP="002E6D9B">
      <w:pPr>
        <w:pStyle w:val="a5"/>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Административное наказание за обозначенные действия предусмотрено в виде административного штрафа.</w:t>
      </w:r>
    </w:p>
    <w:p w:rsidR="00D07981" w:rsidRPr="002E6D9B" w:rsidRDefault="002E6D9B" w:rsidP="002E6D9B">
      <w:pPr>
        <w:pStyle w:val="a5"/>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Другим юридически значимым последствием для организаций, привлеченных к административной ответственности по статье 19.28 КоАП РФ, является двухлетний запрет на участие в закупках для государственных и муниципальных нужд, установленный статьей 31 Федерального закона от 05.04.2013 № 44-ФЗ «О контрактной системе в сфере закупки товаров, работ, услуг для обеспечения государственных и муниципальных нужд».</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color w:val="333333"/>
          <w:sz w:val="28"/>
          <w:szCs w:val="28"/>
          <w:shd w:val="clear" w:color="auto" w:fill="FFFFFF"/>
        </w:rPr>
        <w:t>Информация о юридических лицах, привлеченных к административной ответственности по статье 19.28 КоАП РФ, отражается в Едином реестре участников закупок (</w:t>
      </w:r>
      <w:hyperlink r:id="rId4">
        <w:r w:rsidRPr="002E6D9B">
          <w:rPr>
            <w:rFonts w:ascii="Times New Roman" w:hAnsi="Times New Roman" w:cs="Times New Roman"/>
            <w:color w:val="4062C4"/>
            <w:sz w:val="28"/>
            <w:szCs w:val="28"/>
            <w:shd w:val="clear" w:color="auto" w:fill="FFFFFF"/>
          </w:rPr>
          <w:t>https://zakupki.gov.ru</w:t>
        </w:r>
      </w:hyperlink>
      <w:r w:rsidRPr="002E6D9B">
        <w:rPr>
          <w:rFonts w:ascii="Times New Roman" w:hAnsi="Times New Roman" w:cs="Times New Roman"/>
          <w:color w:val="333333"/>
          <w:sz w:val="28"/>
          <w:szCs w:val="28"/>
          <w:shd w:val="clear" w:color="auto" w:fill="FFFFFF"/>
        </w:rPr>
        <w:t>) и является доступной для широкого круга лиц.</w:t>
      </w:r>
    </w:p>
    <w:p w:rsidR="00D07981" w:rsidRPr="002E6D9B" w:rsidRDefault="002E6D9B" w:rsidP="002E6D9B">
      <w:pPr>
        <w:pStyle w:val="a5"/>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Оператор электронной площадки самостоятельно должен проверять участника закупки на привлечение к административной ответственности по статье 19.28 КоАП РФ и передавать данные сведения заказчику.</w:t>
      </w:r>
    </w:p>
    <w:p w:rsidR="00D07981" w:rsidRDefault="002E6D9B" w:rsidP="002E6D9B">
      <w:pPr>
        <w:pStyle w:val="a5"/>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В случае допуска к участию в закупке лица, привлеченного к административной ответственности по названной статье, лица, допустившие заявку данного участника, подлежат административной ответственности по части 2 статьи 7.30 КоАП РФ.</w:t>
      </w:r>
    </w:p>
    <w:p w:rsidR="002E6D9B" w:rsidRPr="002E6D9B" w:rsidRDefault="002E6D9B" w:rsidP="002E6D9B">
      <w:pPr>
        <w:pStyle w:val="a5"/>
        <w:spacing w:after="0" w:line="240" w:lineRule="auto"/>
        <w:ind w:firstLine="709"/>
        <w:jc w:val="both"/>
        <w:rPr>
          <w:rFonts w:ascii="Times New Roman" w:hAnsi="Times New Roman" w:cs="Times New Roman"/>
          <w:color w:val="333333"/>
          <w:sz w:val="28"/>
          <w:szCs w:val="28"/>
          <w:shd w:val="clear" w:color="auto" w:fill="FFFFFF"/>
        </w:rPr>
      </w:pPr>
    </w:p>
    <w:p w:rsidR="00D07981" w:rsidRDefault="002E6D9B" w:rsidP="002E6D9B">
      <w:pPr>
        <w:spacing w:after="0" w:line="240" w:lineRule="auto"/>
        <w:ind w:firstLine="709"/>
        <w:jc w:val="center"/>
        <w:rPr>
          <w:rFonts w:ascii="Times New Roman" w:hAnsi="Times New Roman" w:cs="Times New Roman"/>
          <w:b/>
          <w:sz w:val="28"/>
          <w:szCs w:val="28"/>
        </w:rPr>
      </w:pPr>
      <w:r w:rsidRPr="002E6D9B">
        <w:rPr>
          <w:rFonts w:ascii="Times New Roman" w:hAnsi="Times New Roman" w:cs="Times New Roman"/>
          <w:b/>
          <w:sz w:val="28"/>
          <w:szCs w:val="28"/>
        </w:rPr>
        <w:t>Порядок привлечения к дисциплинарной ответственности за совершение коррупционного правонарушения.</w:t>
      </w:r>
    </w:p>
    <w:p w:rsidR="002E6D9B" w:rsidRPr="002E6D9B" w:rsidRDefault="002E6D9B" w:rsidP="002E6D9B">
      <w:pPr>
        <w:spacing w:after="0" w:line="240" w:lineRule="auto"/>
        <w:ind w:firstLine="709"/>
        <w:jc w:val="both"/>
        <w:rPr>
          <w:rFonts w:ascii="Times New Roman" w:hAnsi="Times New Roman" w:cs="Times New Roman"/>
          <w:b/>
          <w:sz w:val="28"/>
          <w:szCs w:val="28"/>
        </w:rPr>
      </w:pP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Взыскания налагаются на гражданского служащего в соответствии с порядком, установленным ст.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Порядок проведения проверки регламентирован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w:t>
      </w:r>
      <w:proofErr w:type="gramStart"/>
      <w:r w:rsidRPr="002E6D9B">
        <w:rPr>
          <w:rFonts w:ascii="Times New Roman" w:hAnsi="Times New Roman" w:cs="Times New Roman"/>
          <w:sz w:val="28"/>
          <w:szCs w:val="28"/>
        </w:rPr>
        <w:t>коррупции,  налагаются</w:t>
      </w:r>
      <w:proofErr w:type="gramEnd"/>
      <w:r w:rsidRPr="002E6D9B">
        <w:rPr>
          <w:rFonts w:ascii="Times New Roman" w:hAnsi="Times New Roman" w:cs="Times New Roman"/>
          <w:sz w:val="28"/>
          <w:szCs w:val="28"/>
        </w:rPr>
        <w:t xml:space="preserve"> следующие взыскания: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 замечание;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 выговор;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 предупреждение о неполном должностном соответствии.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Кроме того, ч. 1 ст.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Законодательством предусмотрен и особый срок для привлечения виновных государственных служащих к ответственности.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силу ст. 59.3 Федерального закона «О государственной гражданской службе» взыскания, предусмотренные за коррупционные правонарушения,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lastRenderedPageBreak/>
        <w:t xml:space="preserve">С 2012 года в целях противодействия коррупции, предупреждения коррупционных проявлений и борьбы с ними 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также распространены определенные ограничения, запреты и обязанности, установленные Федеральным законом «О противодействии коррупции» и другими федеральными законами в целях противодействия коррупции.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За нарушение установленных антикоррупционных стандартов работники названных организаций также привлекаются к ответственности.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Помимо дисциплинарных взысканий, предусмотренных ст. 192 Трудового кодекса Российской Федерации (замечание, выговор, увольнение по соответствующим основаниям), за невыполнение антикоррупционных стандартов предусмотрено специальное основание для расторжения трудового договора по инициативе работодателя.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В силу п. 7.1 ст. 81 Трудового кодекса Российской Федерации трудовой договор с работником может быть расторгнут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По общему правилу дисциплинарное взыскание за коррупционное правонарушение считается снятым по истечении одного года со дня применения взыскания, если не имели место иные дисциплинарные взыскания как за коррупционные проступки, так и за иные дисциплинарные проступки, однако исключением является увольнение в связи с утратой доверия. В соответствии с ч. 3 ст. 59.2 Федерального закона «О государственной гражданской службе», ст. 15 Федерального закона «О противодействии коррупции»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w:t>
      </w:r>
      <w:r w:rsidRPr="002E6D9B">
        <w:rPr>
          <w:rFonts w:ascii="Times New Roman" w:hAnsi="Times New Roman" w:cs="Times New Roman"/>
          <w:sz w:val="28"/>
          <w:szCs w:val="28"/>
        </w:rPr>
        <w:lastRenderedPageBreak/>
        <w:t xml:space="preserve">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 </w:t>
      </w:r>
    </w:p>
    <w:p w:rsidR="00D07981" w:rsidRPr="002E6D9B" w:rsidRDefault="00D07981" w:rsidP="002E6D9B">
      <w:pPr>
        <w:spacing w:after="0" w:line="240" w:lineRule="auto"/>
        <w:ind w:firstLine="709"/>
        <w:jc w:val="both"/>
        <w:rPr>
          <w:rFonts w:ascii="Times New Roman" w:hAnsi="Times New Roman" w:cs="Times New Roman"/>
          <w:sz w:val="28"/>
          <w:szCs w:val="28"/>
        </w:rPr>
      </w:pPr>
    </w:p>
    <w:p w:rsidR="00D07981" w:rsidRPr="002E6D9B" w:rsidRDefault="00D07981" w:rsidP="002E6D9B">
      <w:pPr>
        <w:spacing w:after="0" w:line="240" w:lineRule="auto"/>
        <w:ind w:firstLine="709"/>
        <w:jc w:val="both"/>
        <w:rPr>
          <w:rFonts w:ascii="Times New Roman" w:hAnsi="Times New Roman" w:cs="Times New Roman"/>
          <w:sz w:val="28"/>
          <w:szCs w:val="28"/>
        </w:rPr>
      </w:pPr>
    </w:p>
    <w:p w:rsidR="00D07981" w:rsidRPr="002E6D9B" w:rsidRDefault="002E6D9B" w:rsidP="002E6D9B">
      <w:pPr>
        <w:spacing w:after="0" w:line="240" w:lineRule="auto"/>
        <w:ind w:firstLine="709"/>
        <w:jc w:val="center"/>
        <w:rPr>
          <w:rFonts w:ascii="Times New Roman" w:hAnsi="Times New Roman" w:cs="Times New Roman"/>
          <w:b/>
          <w:sz w:val="28"/>
          <w:szCs w:val="28"/>
        </w:rPr>
      </w:pPr>
      <w:r w:rsidRPr="002E6D9B">
        <w:rPr>
          <w:rFonts w:ascii="Times New Roman" w:hAnsi="Times New Roman" w:cs="Times New Roman"/>
          <w:b/>
          <w:sz w:val="28"/>
          <w:szCs w:val="28"/>
        </w:rPr>
        <w:t>Сведения о доходах, расходах, об имуществе должны быть размещены в сети Интернет</w:t>
      </w:r>
    </w:p>
    <w:p w:rsidR="00D07981" w:rsidRPr="002E6D9B" w:rsidRDefault="00D07981" w:rsidP="002E6D9B">
      <w:pPr>
        <w:spacing w:after="0" w:line="240" w:lineRule="auto"/>
        <w:ind w:firstLine="709"/>
        <w:jc w:val="both"/>
        <w:rPr>
          <w:rFonts w:ascii="Times New Roman" w:hAnsi="Times New Roman" w:cs="Times New Roman"/>
          <w:sz w:val="28"/>
          <w:szCs w:val="28"/>
        </w:rPr>
      </w:pP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соответствии с Указом Президента Российской Федерации от 08.07.2013 № 613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декларированный годовой доход служащего (работника), его супруги (супруга) и несовершеннолетних детей;</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Средства массовой информации вправе в течение семи рабочих дней получить вышеуказанные сведения, если запрашиваемые сведения отсутствуют на официальном сайте.</w:t>
      </w:r>
    </w:p>
    <w:p w:rsidR="00D07981" w:rsidRPr="002E6D9B" w:rsidRDefault="002E6D9B" w:rsidP="002E6D9B">
      <w:pPr>
        <w:pStyle w:val="a5"/>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Запрещается размещать в сети Интернет персональные данные членов семьи служащего (работника); данные, позволяющие определить место жительства, почтовый адрес, телефон и иные индивидуальные средства коммуникации служащего (работника) и членов его семьи; данные, позволяющие определить местонахождение объектов недвижимого имущества, принадлежащих служащему (работнику) и членам его семьи; а также охраняемые законом сведения.</w:t>
      </w:r>
    </w:p>
    <w:p w:rsidR="00D07981" w:rsidRPr="002E6D9B" w:rsidRDefault="00D07981" w:rsidP="002E6D9B">
      <w:pPr>
        <w:spacing w:after="0" w:line="240" w:lineRule="auto"/>
        <w:ind w:firstLine="709"/>
        <w:jc w:val="both"/>
        <w:rPr>
          <w:rFonts w:ascii="Times New Roman" w:hAnsi="Times New Roman" w:cs="Times New Roman"/>
          <w:sz w:val="28"/>
          <w:szCs w:val="28"/>
        </w:rPr>
      </w:pPr>
    </w:p>
    <w:sectPr w:rsidR="00D07981" w:rsidRPr="002E6D9B" w:rsidSect="002E6D9B">
      <w:pgSz w:w="11906" w:h="16838"/>
      <w:pgMar w:top="1134" w:right="851"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81"/>
    <w:rsid w:val="002E6D9B"/>
    <w:rsid w:val="003C660D"/>
    <w:rsid w:val="009009F2"/>
    <w:rsid w:val="00C57DA2"/>
    <w:rsid w:val="00D07981"/>
    <w:rsid w:val="00E34736"/>
    <w:rsid w:val="00E73C5D"/>
    <w:rsid w:val="00F82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5A80"/>
  <w15:docId w15:val="{F35D4846-B5C9-4110-AE22-2515F98C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ejaVu Sans"/>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paragraph" w:styleId="1">
    <w:name w:val="heading 1"/>
    <w:basedOn w:val="a"/>
    <w:link w:val="10"/>
    <w:uiPriority w:val="9"/>
    <w:qFormat/>
    <w:pPr>
      <w:spacing w:before="280" w:after="280"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Times New Roman" w:eastAsia="Times New Roman" w:hAnsi="Times New Roman" w:cs="Times New Roman"/>
      <w:b/>
      <w:bCs/>
      <w:kern w:val="2"/>
      <w:sz w:val="48"/>
      <w:szCs w:val="48"/>
      <w:lang w:eastAsia="ru-RU"/>
    </w:rPr>
  </w:style>
  <w:style w:type="character" w:customStyle="1" w:styleId="11">
    <w:name w:val="Дата1"/>
    <w:basedOn w:val="a0"/>
    <w:qFormat/>
  </w:style>
  <w:style w:type="character" w:customStyle="1" w:styleId="-">
    <w:name w:val="Интернет-ссылка"/>
    <w:basedOn w:val="a0"/>
    <w:rPr>
      <w:color w:val="0000FF"/>
      <w:u w:val="single"/>
    </w:rPr>
  </w:style>
  <w:style w:type="character" w:styleId="a3">
    <w:name w:val="Emphasis"/>
    <w:basedOn w:val="a0"/>
    <w:qFormat/>
    <w:rPr>
      <w:i/>
      <w:iCs/>
    </w:rPr>
  </w:style>
  <w:style w:type="character" w:customStyle="1" w:styleId="a4">
    <w:name w:val="Основной текст Знак"/>
    <w:basedOn w:val="a0"/>
    <w:link w:val="a5"/>
    <w:qFormat/>
  </w:style>
  <w:style w:type="character" w:customStyle="1" w:styleId="a6">
    <w:name w:val="Выделение жирным"/>
    <w:qFormat/>
    <w:rPr>
      <w:b/>
      <w:bCs/>
    </w:rPr>
  </w:style>
  <w:style w:type="paragraph" w:styleId="a7">
    <w:name w:val="Title"/>
    <w:basedOn w:val="a"/>
    <w:next w:val="a5"/>
    <w:uiPriority w:val="10"/>
    <w:qFormat/>
    <w:pPr>
      <w:keepNext/>
      <w:spacing w:before="240" w:after="120"/>
    </w:pPr>
    <w:rPr>
      <w:rFonts w:ascii="Liberation Sans" w:eastAsia="Noto Sans CJK SC" w:hAnsi="Liberation Sans" w:cs="Lohit Devanagari"/>
      <w:sz w:val="28"/>
      <w:szCs w:val="28"/>
    </w:rPr>
  </w:style>
  <w:style w:type="paragraph" w:styleId="a5">
    <w:name w:val="Body Text"/>
    <w:basedOn w:val="a"/>
    <w:link w:val="a4"/>
    <w:pPr>
      <w:spacing w:after="140"/>
    </w:pPr>
  </w:style>
  <w:style w:type="paragraph" w:styleId="a8">
    <w:name w:val="List"/>
    <w:basedOn w:val="a5"/>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styleId="aa">
    <w:name w:val="index heading"/>
    <w:basedOn w:val="a"/>
    <w:qFormat/>
    <w:pPr>
      <w:suppressLineNumbers/>
    </w:pPr>
    <w:rPr>
      <w:rFonts w:cs="Lohit Devanagari"/>
    </w:rPr>
  </w:style>
  <w:style w:type="paragraph" w:customStyle="1" w:styleId="pdate">
    <w:name w:val="p_date"/>
    <w:basedOn w:val="a"/>
    <w:qFormat/>
    <w:pPr>
      <w:spacing w:before="280" w:after="280" w:line="240" w:lineRule="auto"/>
    </w:pPr>
    <w:rPr>
      <w:rFonts w:ascii="Times New Roman" w:eastAsia="Times New Roman" w:hAnsi="Times New Roman" w:cs="Times New Roman"/>
      <w:sz w:val="24"/>
      <w:szCs w:val="24"/>
      <w:lang w:eastAsia="ru-RU"/>
    </w:rPr>
  </w:style>
  <w:style w:type="paragraph" w:customStyle="1" w:styleId="pcateg">
    <w:name w:val="p_categ"/>
    <w:basedOn w:val="a"/>
    <w:qFormat/>
    <w:pPr>
      <w:spacing w:before="280" w:after="280" w:line="240" w:lineRule="auto"/>
    </w:pPr>
    <w:rPr>
      <w:rFonts w:ascii="Times New Roman" w:eastAsia="Times New Roman" w:hAnsi="Times New Roman" w:cs="Times New Roman"/>
      <w:sz w:val="24"/>
      <w:szCs w:val="24"/>
      <w:lang w:eastAsia="ru-RU"/>
    </w:rPr>
  </w:style>
  <w:style w:type="paragraph" w:styleId="ab">
    <w:name w:val="Normal (Web)"/>
    <w:basedOn w:val="a"/>
    <w:uiPriority w:val="99"/>
    <w:qFormat/>
    <w:pPr>
      <w:spacing w:before="280" w:after="280" w:line="240" w:lineRule="auto"/>
    </w:pPr>
    <w:rPr>
      <w:rFonts w:ascii="Times New Roman" w:eastAsia="Times New Roman" w:hAnsi="Times New Roman" w:cs="Times New Roman"/>
      <w:sz w:val="24"/>
      <w:szCs w:val="24"/>
      <w:lang w:eastAsia="ru-RU"/>
    </w:rPr>
  </w:style>
  <w:style w:type="paragraph" w:styleId="ac">
    <w:name w:val="No Spacing"/>
    <w:uiPriority w:val="1"/>
    <w:qFormat/>
    <w:rsid w:val="00E7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3772">
      <w:bodyDiv w:val="1"/>
      <w:marLeft w:val="0"/>
      <w:marRight w:val="0"/>
      <w:marTop w:val="0"/>
      <w:marBottom w:val="0"/>
      <w:divBdr>
        <w:top w:val="none" w:sz="0" w:space="0" w:color="auto"/>
        <w:left w:val="none" w:sz="0" w:space="0" w:color="auto"/>
        <w:bottom w:val="none" w:sz="0" w:space="0" w:color="auto"/>
        <w:right w:val="none" w:sz="0" w:space="0" w:color="auto"/>
      </w:divBdr>
      <w:divsChild>
        <w:div w:id="893348413">
          <w:marLeft w:val="0"/>
          <w:marRight w:val="0"/>
          <w:marTop w:val="0"/>
          <w:marBottom w:val="0"/>
          <w:divBdr>
            <w:top w:val="none" w:sz="0" w:space="0" w:color="auto"/>
            <w:left w:val="none" w:sz="0" w:space="0" w:color="auto"/>
            <w:bottom w:val="none" w:sz="0" w:space="0" w:color="auto"/>
            <w:right w:val="none" w:sz="0" w:space="0" w:color="auto"/>
          </w:divBdr>
        </w:div>
      </w:divsChild>
    </w:div>
    <w:div w:id="723600291">
      <w:bodyDiv w:val="1"/>
      <w:marLeft w:val="0"/>
      <w:marRight w:val="0"/>
      <w:marTop w:val="0"/>
      <w:marBottom w:val="0"/>
      <w:divBdr>
        <w:top w:val="none" w:sz="0" w:space="0" w:color="auto"/>
        <w:left w:val="none" w:sz="0" w:space="0" w:color="auto"/>
        <w:bottom w:val="none" w:sz="0" w:space="0" w:color="auto"/>
        <w:right w:val="none" w:sz="0" w:space="0" w:color="auto"/>
      </w:divBdr>
      <w:divsChild>
        <w:div w:id="303438092">
          <w:marLeft w:val="0"/>
          <w:marRight w:val="0"/>
          <w:marTop w:val="0"/>
          <w:marBottom w:val="0"/>
          <w:divBdr>
            <w:top w:val="none" w:sz="0" w:space="0" w:color="auto"/>
            <w:left w:val="none" w:sz="0" w:space="0" w:color="auto"/>
            <w:bottom w:val="none" w:sz="0" w:space="0" w:color="auto"/>
            <w:right w:val="none" w:sz="0" w:space="0" w:color="auto"/>
          </w:divBdr>
        </w:div>
      </w:divsChild>
    </w:div>
    <w:div w:id="1121611314">
      <w:bodyDiv w:val="1"/>
      <w:marLeft w:val="0"/>
      <w:marRight w:val="0"/>
      <w:marTop w:val="0"/>
      <w:marBottom w:val="0"/>
      <w:divBdr>
        <w:top w:val="none" w:sz="0" w:space="0" w:color="auto"/>
        <w:left w:val="none" w:sz="0" w:space="0" w:color="auto"/>
        <w:bottom w:val="none" w:sz="0" w:space="0" w:color="auto"/>
        <w:right w:val="none" w:sz="0" w:space="0" w:color="auto"/>
      </w:divBdr>
      <w:divsChild>
        <w:div w:id="156501569">
          <w:marLeft w:val="0"/>
          <w:marRight w:val="0"/>
          <w:marTop w:val="0"/>
          <w:marBottom w:val="0"/>
          <w:divBdr>
            <w:top w:val="none" w:sz="0" w:space="0" w:color="auto"/>
            <w:left w:val="none" w:sz="0" w:space="0" w:color="auto"/>
            <w:bottom w:val="none" w:sz="0" w:space="0" w:color="auto"/>
            <w:right w:val="none" w:sz="0" w:space="0" w:color="auto"/>
          </w:divBdr>
        </w:div>
      </w:divsChild>
    </w:div>
    <w:div w:id="1581985350">
      <w:bodyDiv w:val="1"/>
      <w:marLeft w:val="0"/>
      <w:marRight w:val="0"/>
      <w:marTop w:val="0"/>
      <w:marBottom w:val="0"/>
      <w:divBdr>
        <w:top w:val="none" w:sz="0" w:space="0" w:color="auto"/>
        <w:left w:val="none" w:sz="0" w:space="0" w:color="auto"/>
        <w:bottom w:val="none" w:sz="0" w:space="0" w:color="auto"/>
        <w:right w:val="none" w:sz="0" w:space="0" w:color="auto"/>
      </w:divBdr>
      <w:divsChild>
        <w:div w:id="13848636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12</Pages>
  <Words>4636</Words>
  <Characters>26429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Конденков Илья Сергеевич</cp:lastModifiedBy>
  <cp:revision>18</cp:revision>
  <dcterms:created xsi:type="dcterms:W3CDTF">2022-08-06T13:56:00Z</dcterms:created>
  <dcterms:modified xsi:type="dcterms:W3CDTF">2024-04-24T12:31:00Z</dcterms:modified>
  <dc:language>ru-RU</dc:language>
</cp:coreProperties>
</file>