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2" w:rsidRDefault="003B28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</w:t>
      </w:r>
    </w:p>
    <w:p w:rsidR="00F21772" w:rsidRDefault="003B28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2024 году и сравнительного анализа результатов, полученных </w:t>
      </w:r>
    </w:p>
    <w:p w:rsidR="00F21772" w:rsidRDefault="003B28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итогам исследований, проведенных в 2022, 2023 и 2024 годах</w:t>
      </w:r>
    </w:p>
    <w:p w:rsidR="00F21772" w:rsidRDefault="003B28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_____________________________________________________________</w:t>
      </w:r>
    </w:p>
    <w:p w:rsidR="00F21772" w:rsidRDefault="003B28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информация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комитета по профилактике </w:t>
      </w:r>
    </w:p>
    <w:p w:rsidR="00F21772" w:rsidRDefault="003B28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коррупционных правонарушений Оренбургской области)</w:t>
      </w:r>
    </w:p>
    <w:p w:rsidR="00F21772" w:rsidRDefault="00F21772">
      <w:pPr>
        <w:tabs>
          <w:tab w:val="left" w:pos="298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целях реализации Национального плана про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тиводействия коррупции и региональной программы противодействия коррупции, комитетом                             по профилактике коррупционных правонарушений Оренбургской области (далее – комитет) организовано проведение социологических исследований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о состоянии коррупции и эффективности мер, предпринимаемых                                      по ее предупреждению в государственных органах и органах местного самоуправления в Оренбургской области (далее – исследование).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Ежегодное проведение исс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ледований являлось одной из задач Национального плана противодействия коррупции на 2021-2024 годы, утвержденного Указом Президента Российской Федерации от 16.08.2021          № 478.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Исследования проводятся с 2019 года в соответствии с методикой, утвержденн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 Постановлением Правительства Российской Федерации                    от 25.05.2019 № 662 и сфокусированы на следующей проблематике: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«бытовая» коррупция, возникающая при взаимодействии граждан                      и представителей органов власти, в том ч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исле при предоставлении государственных (муниципальных) услуг (в опросе приняли участие 600 респондентов);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«деловая» коррупция, возникающая при взаимодействии органов власти и представителей бизнеса (в опросе приняли участие 200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субъектов предпринимательской деятельности).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Целью исследований является оценка уровня, структуры                                   и специфики коррупции в Оренбургской области.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 исследований заключаются в определении следующих показателей: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фактиче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ские значения параметров оценки коррупции, в том числе уровня коррупции в Оренбургской области;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качественно-количественная оценка коррупции в Оренбургской области;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структура коррупции в Оренбургской области;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основные характеристики коррупции в различ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ных сферах государственного регулирования Оренбургской области;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эффективность (результативность) принимаемых в Оренбургской области мер, направленных на противодействие коррупции;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причины и условия проявления коррупции в регионе.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Сбор и анализ информац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ии в рамках проведения социологического исследования осуществлялся в 12 муниципальных образованиях Оренбургской области: г. Оренбург, г. Орск, г. Новотроицк, г. Бузулук, Кувандыкский муниципальный округ, Адамовский, Грачевский, Матвеевский, Новоорский, Нов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осергиевский, Октябрьский, Сакмарский районы.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рамках подготовки к заседанию комиссии проведен сравнительный анализ результатов социологических исследований за 2022-2024 годы.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Отношение населения к «бытовой» и «деловой» коррупции во многом зависит от уров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ня информированности, прежде всего о тех мерах, которые принимаются властями региона по противодействию коррупции.</w:t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939777" cy="3938265"/>
            <wp:effectExtent l="4762" t="4762" r="4762" b="47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Результаты исследования, проведенные в 2024 году, показали, что 59% респондентов в той или иной степени получают информацию о мерах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предпринимаемых властями по противодействию коррупции (2022 – 71%; 2023 – 57%).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значение такого показателя, как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количество лиц, ничего не знающих о принимаемых мерах по противодействия коррупции в 2024 году составило 32% (2022 – 23%; 2023 – 38%)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Таким образом, возникает вопрос об эффективности проводимых мероприятий по антикоррупционному информированию и просвещению. Учитывая тенденцию снижения показателей, комиссией по координации работы по противодействию коррупции в Оренбург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ской области в мае 2023 года и в ноябре 2024 года рассматривались вопросы, связанные                                 с обеспечением антикоррупционного информировании и информационного сопровождения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исполнительных органов и органов местного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оуправления Оренбургской области по профилактике коррупционных правонарушений. Выработанные меры, направленные на повышения качества проводимых мероприятий по освещению деятельности по профилактике коррупционных правонарушений, вовлечение в указанные мероп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риятия более широкого круга лиц, позволили в сравнении с 2023 и 2024 годами на 6% снизить количественные показатели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лиц, ничего не знающих о принимаемых мерах по противодействия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Результаты проведенного исследования в 2024 году показывают,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что 77% представителей бизнеса информированы о реализуемых                          в регионе мерах по противодействию коррупции (2022 – 54%; 2023 – 72%).</w:t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939782" cy="3917943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этом 35% респондентов в сфере «деловой» коррупции в 2024 году указали, что специально 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следят за информацией о мерах, которые власти принимают для противодействия коррупции (в 2022 году этот показатель составил  – 22%; 2023 – 31%).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Вместе с тем, наблюдается снижение количества представителей            бизнес-сообщества,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неосведомленных о 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еализуемых в регионе мерах                            по противодействию коррупции.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2024 году эффективной деятельность руководства региона в сфере противодействия коррупции признали 26% респондентов, опрошенных                         в сфере «бытовой» коррупции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(2022 – 53%, 2023 – 22%).</w:t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FF0000"/>
          <w:lang w:eastAsia="ru-RU"/>
        </w:rPr>
        <w:lastRenderedPageBreak/>
        <w:drawing>
          <wp:inline distT="0" distB="0" distL="0" distR="0">
            <wp:extent cx="5837415" cy="2751744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Основываясь на сравнительном анализе результа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тов исследований, можно констатировать, что в 2024 году наблюдается снижение количественных показателей представителей бизнеса региона, считающих проводимую антикоррупционную работу неэффективной.</w:t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837415" cy="3692710"/>
            <wp:effectExtent l="4762" t="4762" r="4762" b="4762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если в 2022 и 2023 годах соответственно 24% и 35%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участвующих в опросах представителей бизнеса считали, что принимаемые меры                               по противодействию коррупции являются неэффективными, то в 2024 году данный показатель составил 33%.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3% респондентов считают действия властей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ухудшающими ситуацию. В 2022 и 2023 годах этот показатель составлял 2%.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Вместе с тем, по мнению 41% опрошенных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(2022 – 41%; 2023 – 38%)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власти региона стараются в меру своих полномочий бороться с различными антикоррупционными проявлениями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На 8% снизилось количество респондентов, придерживающихся противоположной позиции (руководство региона не стремиться решать проблемы коррупции). В 2024 году данный показатель составляет 27%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(2022 – 25%; 2023 – 35%)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целях определения уровня распростран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енности и укорененности «бытовой» коррупции в Оренбургской области, участниками исследования осуществлена оценка честности органов власти и организаций.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основании оценки уровня коррумпированности органов власти можно сделать вывод, что более 25% респонд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ентов считают власти Оренбургской области довольно честными. Данный показатель в 2022 году составлял 53%, 2023 – 26%, что указывает на необходимость повышения эффективности проводимой антикоррупционной работы.</w:t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939783" cy="2957878"/>
            <wp:effectExtent l="4762" t="4762" r="4762" b="4762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Проведенные в 2022-2024 годах исследования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динамики «бытовой коррупции» показали, что по мнению порядка 40% опрошенных степень распространения коррупции на местном, региональном и федеральном уровнях практически не изменилась.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определения наиболее коррумпированных сфер     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при взаимодействии населения с государственными структурами, в рамках исследования проведена оценка уровня «бытовой» коррупции.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Сравнительный анализ результатов исследований, проведенных                               в период 2022-2024 г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одов показывает, что наиболее часто коррупционные ситуации возникают при получении бесплатной медицинской помощи              в поликлинике, в больнице; переводе из одного ВУЗа в другой, сдаче экзаменов, зачетов, защите дипломных работ; поступлении в дошко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льные учреждения, нужную школу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успешным ее окончанием или обучением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получении нужной работы и обеспечении продвижения по службе.</w:t>
      </w:r>
    </w:p>
    <w:p w:rsidR="00F21772" w:rsidRDefault="003B28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Вышеуказанные результаты социологического исследования, также подтверждаются проведенным комитетом анализом </w:t>
      </w:r>
      <w:r>
        <w:rPr>
          <w:rFonts w:ascii="Times New Roman" w:hAnsi="Times New Roman" w:cs="Times New Roman"/>
          <w:sz w:val="28"/>
          <w:szCs w:val="28"/>
        </w:rPr>
        <w:t>уголовных дел, возбужденных по преступлениям коррупционной направленности.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2024 году правоохранительными органами возбуждены (расследованы) уголовные дела в отношении 13 руководителей учреждений (организаций), функции учредителя для которых выполняют исп</w:t>
      </w:r>
      <w:r>
        <w:rPr>
          <w:rFonts w:ascii="Times New Roman" w:hAnsi="Times New Roman" w:cs="Times New Roman"/>
          <w:bCs/>
          <w:sz w:val="28"/>
          <w:szCs w:val="28"/>
        </w:rPr>
        <w:t>олнительные органы и органы местного самоуправления, из которых на момент совершения преступлений 6 являлись руководителями образовательных учреждений (директоры МБОУ «Сузановская СОШ», МБОУ «Малозайкинская СОШ», МБОУ «Свердловская СОШ», МАУ ДЗОЛ «Лесная с</w:t>
      </w:r>
      <w:r>
        <w:rPr>
          <w:rFonts w:ascii="Times New Roman" w:hAnsi="Times New Roman" w:cs="Times New Roman"/>
          <w:bCs/>
          <w:sz w:val="28"/>
          <w:szCs w:val="28"/>
        </w:rPr>
        <w:t>казка», детского сада «Ручеек», заведующая МДОУ «Октябрьский детский сад «Сказка»). Также уголовные дела возбуждены в отношении директора ГБУ «Центральная психолого-медико педагогическая комиссия Оренбургской области»;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заведующего отделением ГАУЗ «ГКБ им. </w:t>
      </w:r>
      <w:r>
        <w:rPr>
          <w:rFonts w:ascii="Times New Roman" w:hAnsi="Times New Roman" w:cs="Times New Roman"/>
          <w:bCs/>
          <w:sz w:val="28"/>
          <w:szCs w:val="28"/>
        </w:rPr>
        <w:t>Н.И. Пирогова»,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врача -психиатра ГБУЗ «ООКПБ № 2»</w:t>
      </w:r>
      <w:r>
        <w:t>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Результаты исследования свидетельствуют о недостаточности проводимых мероприятий антикоррупционной направленности в указанных сферах, что требует выработки дополнительных мер, направленных 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на снижение коррупционных проявлений.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 этом, 55% респондентов указали удовлетворенность результатами обращения в государственные учреждения (2022 – 59%; 2023 – 56%), что связано с проводимой государством работой, направленной на развитие ци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фровых технологий и переводом значительной части государственных и муниципальных услуг в электронный формат.</w:t>
      </w: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939781" cy="3901431"/>
            <wp:effectExtent l="4762" t="4762" r="4762" b="4762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Вместе с тем, довольно высоким остается количество граждан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неудовлетворенных или частично удовлетворенных результатами обращения в государственные учреждения, что на практике создает потенциальную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угрозу возникновения и использования коррупционного механизма удовлетворения интересов. В 2024 году этот показатель со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ставил 42%          (2022 – 33%; 2023 – 42%).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Следует отметить, что более 83% респондентов указали, что не попадали в ситуацию, когда возникала необходимость решить проблему с помощью неформального вознаграждения или подарка (2022 – 79%; 2023 – 83%).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Вмест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 с тем, 36% опрошенных готовы совершить коррупционные действия, если потребуется получение стопроцентного результата                           (2022 – 26%; 2023 – 39%), что указывает на недостаточную эффективность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проводимых мероприятий по формированию не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терпимости                                     к коррупционному поведению. Данное обстоятельство учтено комиссией                по координации работы по противодействию коррупции в Оренбургской области. Решениями комиссии от 31.05.2023 и 20.11.2024 разраб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отаны меры, направленные на активизацию проводимой работы.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Исследование показало определенную информированность респондентов о среднем размере взяток при взаимодействии                                                     с представителями органов власти. 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ак, сумму взятки в пределах от 5 до 15 тысяч рублей указывает 18% опрошенных (2022 – 7%; 2023 – 21%). Суммы, превышающие 30 тысяч рублей, обозначили 18% (2022 – 19%; 2023 – 15%).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 респондентов, основными результатами «бытовой» коррупции в 2024 год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 являются ускорение решения проблемы (29%), качественное решение проблемы (11%), минимизация трудностей при решении проблемы (7%). При этом, 13% опрошенных считает, что взятка помогает получить результат, который и так закреплен за функционалом должностно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го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более 23% респондентов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считает, что взятка ничего не гарантирует (2022 – 5%; 2023 – 22%)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772" w:rsidRDefault="003B28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892977" cy="3665238"/>
            <wp:effectExtent l="4762" t="4762" r="4762" b="4762"/>
            <wp:docPr id="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В этой связи целесообразно принятие дополнительных мер                                      по повышению качества работы при обращении граждан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государственные органы, в том числе путем усиления контроля со стороны руководителей                       и принятия жестких мер к виновным должностным лицам.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ходе ис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данным исследования, 28% респондентов указали,                                что представители бизнеса преследуют такую цель, как «использование авторитета в силу занимаемой должности для оказания воздействия                    со стороны должно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стного лица»; 24% – «ускоренное исполнение должностным лицом своих обязанностей»; 22% представителей бизнес-сообщества – «несовершение должностным лицом входящих в его служебные полномочия действий».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Анализ форм оказания влияния на действия (бездействие) д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олжностных лиц показал, что самой популярной формой оказания влияния на действия (бездействие) должностных лиц среди бизнес-сообществ являются                       подарки – 27% (2023 – 22%). Неформальные прямые и (или) скрытые платежи отметили 17% респон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дентов (2023 – 12%). Неформальные услуги имущественного характера – 14% (2023 – 11%).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25% участников исследования, такая форма как подарки, характерна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органов по архитектуре и строительству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Роспотребнадзора – 21%; налоговых органов – 18%.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мнению респондентов в 2024 году, такая форма как подарки,                    не характерна для органов, осуществляющих деятельность по охране труда (2023 – 23%); предоставляющих в аренду помещения (2023 – 20%); реализующих функции по охране природных ресу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рсов и окружающей среды (2023 – 18%).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Результаты исследований, проведенных в период 2022-2024 годов 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ласти.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 10% представителей бизнеса (2022 – 10%; 2023 – 9%) неформальные платежи ничего не гарантируют.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положительный эффект от коррупционных действий отмечает 23% представителей бизнеса (2022 – 32%; 2023 – 22%), которые считают,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что неформальные платежи способствуют качественному решению проблемы, минимизируют трудности при решении возникающих проблем, а также ускоряют решение возникающих вопросов.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Как следует из материалов исследования, неформальные прямые                           и (или) скрытые платежи 29% респондентов (2023 – 30%) используют с целью обхода обременительных требований для организации, а также невыполнимых (противоречивых) требован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ий законодательства; как и в предыдущем периоде,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20%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для ускорения получения необходимых документов.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рамках проведения исследования изучалось мнение представителей бизнеса о коррупции в сфере осуществления государственных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муниципальных закупок.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закупках на получение государственного или муниципального контракта участвовали около 19% предпринимателей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2023 – 21%)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этом, наибольшее число респондентов участвовали в конкурсах на муниципальном уровне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2024 – 10%,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12%). На региональном и федеральном уровне              в конкурсах участвовало по 5% опрошенных представителей бизнеса              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2023 – 4% и 5% соответственно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процентном соотношение наибольшее число контрактов предпринимателями было получе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на региональном уровне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51%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42%). Более 3-х контрактов предприниматели чаще получали на муниципальном уровне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2024 – 29%, 2023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21%).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необходимость неформальных платежей, для получения государственных контрактов, ука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зало в среднем около 21% предпринимателей, получивших контракт на том или ином уровне                  (2023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12%).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Менее 5% от стоимости контракта заплатили около 12% (2023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11%) предпринимателей, получивших контракты на региональном и федеральном уровн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ях. На муниципальном уровне данный показатель составляет 15%        (2023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6%).</w:t>
      </w:r>
    </w:p>
    <w:p w:rsidR="00F21772" w:rsidRDefault="003B2889">
      <w:pPr>
        <w:tabs>
          <w:tab w:val="left" w:pos="298"/>
          <w:tab w:val="left" w:pos="63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предпринимаемые федеральными                      и региональными властями усилия, предпринимателям приходится сталкиваться с коррупционными проявле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ниями при участии в сфере государственного заказа.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целях обеспечения принципов конкурентности, комиссией                                по координации работы по противодействию коррупции в Оренбургской области вырабатываются меры, направленные на профила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ктику коррупционных правонарушений в сфере закупок товаров, работ, услуг                    для обеспечения государственных и муниципальных нужд, которые реализуются соответствующими специалистами исполнительных органов          и органов местного самоупра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вления Оренбургской области.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В декабре 2024 года комитетом во взаимодействии с аппаратом Губернатора и Правительства Оренбургской области организован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антикоррупционный форум: «Актуальные вопросы в сфере противодействия коррупции».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форума включала в себя обсуждение вопросов региональных и корпоративных методов противодействия коррупции, антикоррупционного поведения, в том числе психологические аспекты коррупционного поведения при осуществлении закупок товаров, работ и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государственных (муниципальных) нужд и других актуальных вопросов.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Отрицательное отношение к коррупции в 2024 году выразили 44% опрошенных представителей бизнеса (2022 – 31%; 2023 – 43%). Для 7% (2022 – 10%; 2023 – 7%) коррупция чаще мешает, чем помог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ает.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Исходя из результатов исследования, 40% опрошенных выделили такую причину совершения коррупционных действий как «дали понять со стороны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должностного лица» (2022 – 29%; 2023 – 37%), 31% учитывают в своей практики опыт коллег из других организаций (2022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35%; 2023 – 33%), 28% в качестве причины назвали «так надежнее с точки зрения интересов организации» (2022 – 36%; 2023 – 30%).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Причинами распространения коррупции, по мнению 35% представителей бизнес-сообщества Оренбургской области является алчность чин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овников и должностных лиц (2022 – 31%; 2023 – 33%); 25% представителей бизнеса причины видят в сложившихся традициях в обществе, особенностях культуры, менталитета (2022 – 17%; 2023 – 22%); 16% причиной считают сложное, противоречивое законодательство (202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 – 6%; 2023 – 15%).</w:t>
      </w:r>
    </w:p>
    <w:p w:rsidR="00F21772" w:rsidRDefault="003B2889">
      <w:pPr>
        <w:tabs>
          <w:tab w:val="left" w:pos="29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808911" cy="4010204"/>
            <wp:effectExtent l="4762" t="4762" r="4762" b="4762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21772" w:rsidRDefault="00F21772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рамках подготовки к заседанию комиссии, проведен сравнительный анализ результатов регионального исследования с показателями исследования, проведенного Торгово-промышленной палатой Российской Федерации «Бизнес-барометр коррупции».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данным «Бизнес-барометра коррупции», самыми коррумпированными сферами предпринимательской деятельности являются: закупки для государственных нужд – 38%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(2023 – 42%); получение разрешений, справок, сертификатов, лицензирование, аккредитация – 39%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2023 – 36%); контроль (надзор) за предпринимательской деятельностью, взаимодействие с проверяющими органами – 34% (2023 – 35%); регистрация сделок с недвижимостью, земельные отношения – 24% (2023 – 24%); соблюдение санитарно-эпидемиологических норм – 20% (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2023 – 15%); получение мер государственной поддержки – 19% (2023 – 19%); природоохранная среда – 11% (2023 – 12%).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Основными причинами распространения коррупции по мнению 48% является недобросовестная конкуренция; безнаказанность чиновников      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и должностных лиц – 40%; сложное, противоречивое законодательство – 37%; национальные традиции и менталитет – 35%; алчность чиновников                         и должностных лиц – 32%; желание иметь преимущества в бизнесе – 29%; юридическая неграмотност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 предпринимателей в сфере противодействия коррупции – 20%.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исходя из поставленных в исследованиях вопросов, причины распространения коррупции, установленные региональным исследованием, в целом идентичны данным опроса, проведенного   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Торгово-промышленной палатой Российской Федерации.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целью исправления сложившейся ситуации, по нашему мнению, целесообразно дальнейшее совершенствование нормативно-правовой базы, нацеленной на устранение избыточного административного регулирован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ия деятельности бизнеса, сокращение различных административных барьеров при осуществлении предпринимательской деятельности, четкое разграничение функций по лицензированию, контролю и государственному регулированию между различными исполнительными органами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Необходима дальнейшая активизация работы по взаимодействию со средствами массовой информации, направленная на освещение деятельности по противодействию коррупции, проведению разъяснительной работы с населением области.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повышения эффективности работы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исполнительных органов, органов местного самоуправления, необходима обратная связь с жителями региона, существенной составляющей которой являются обращения граждан в органы власти. Обращения традиционно играют важную роль в процессе управления, так как с 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граждан.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основании проведенных исследований, для повышения качественной составляющей показ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ателей оценки, считаем целесообразным: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1. С целью поддержания в общественном сознании представления                        о коррупции как о социальной патологии, снижения уровня распространения коррупции, продолжить мероприятия по формированию нетерпимост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 граждан к коррупционным проявлениям. В этих целях активизировать привлечение средств массовой информации и жителей Оренбургской области     к участию в проводимых мероприятиях антикоррупционной направленности.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2. Продолжить работу с институтами гражданск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ого общества по формировании негативного отношения к коррупции у жителей региона.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Расширить практику получения населением государственных и муниципальных услуг в электронном формате, а также посредством многофункциональных центров.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Принять меры п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 совершенствованию регламентов оказания государственных и муниципальных услуг, устранению существующих барьеров при их получении, а также упрощению процедур лицензирования и надзора.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4. Продолжить практику проведения мероприятий в организациях, осуществля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на выявление фактов «бытовой» коррупции, а так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же на освещение результатов данной работы в средствах массовой информации.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Реализовать мероприятия, направленные на профилактику коррупционных правонарушений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F21772" w:rsidRDefault="003B28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ледует отметить,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коррупция </w:t>
      </w:r>
      <w:r>
        <w:rPr>
          <w:rFonts w:ascii="Times New Roman" w:hAnsi="Times New Roman" w:cs="Times New Roman"/>
          <w:sz w:val="28"/>
          <w:szCs w:val="28"/>
        </w:rPr>
        <w:t>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</w:t>
      </w:r>
      <w:r>
        <w:rPr>
          <w:rFonts w:ascii="Times New Roman" w:hAnsi="Times New Roman" w:cs="Times New Roman"/>
          <w:sz w:val="28"/>
          <w:szCs w:val="28"/>
        </w:rPr>
        <w:t>анского общества.</w:t>
      </w:r>
    </w:p>
    <w:p w:rsidR="00F21772" w:rsidRDefault="003B288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Противодействие коррупции представляет собой системную                          и целенаправленную деятельность исполнительных органов, органов местного самоуправления муниципальных образований, институтов гражданского общества по формиро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ванию у граждан нетерпимого отношения к коррупции.</w:t>
      </w:r>
    </w:p>
    <w:p w:rsidR="00F21772" w:rsidRDefault="003B2889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Конкретные мероприятия включены в проект решения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координации работы по противодействию коррупции                        в Оренбургской области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sectPr w:rsidR="00F21772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89" w:rsidRDefault="003B2889">
      <w:pPr>
        <w:spacing w:after="0" w:line="240" w:lineRule="auto"/>
      </w:pPr>
      <w:r>
        <w:separator/>
      </w:r>
    </w:p>
  </w:endnote>
  <w:endnote w:type="continuationSeparator" w:id="0">
    <w:p w:rsidR="003B2889" w:rsidRDefault="003B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89" w:rsidRDefault="003B2889">
      <w:pPr>
        <w:spacing w:after="0" w:line="240" w:lineRule="auto"/>
      </w:pPr>
      <w:r>
        <w:separator/>
      </w:r>
    </w:p>
  </w:footnote>
  <w:footnote w:type="continuationSeparator" w:id="0">
    <w:p w:rsidR="003B2889" w:rsidRDefault="003B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908728"/>
      <w:docPartObj>
        <w:docPartGallery w:val="Page Numbers (Top of Page)"/>
        <w:docPartUnique/>
      </w:docPartObj>
    </w:sdtPr>
    <w:sdtEndPr/>
    <w:sdtContent>
      <w:p w:rsidR="00F21772" w:rsidRDefault="003B2889">
        <w:pPr>
          <w:pStyle w:val="af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F260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263"/>
    <w:multiLevelType w:val="hybridMultilevel"/>
    <w:tmpl w:val="90B4E9C0"/>
    <w:lvl w:ilvl="0" w:tplc="FC969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1466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8015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40CD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98CB7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0CA4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F448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FCA4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3A3A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E2104C"/>
    <w:multiLevelType w:val="hybridMultilevel"/>
    <w:tmpl w:val="E8324578"/>
    <w:lvl w:ilvl="0" w:tplc="74B6D2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54EC9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261C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3A26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C675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B85F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1EBB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326D3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A2B3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924488"/>
    <w:multiLevelType w:val="hybridMultilevel"/>
    <w:tmpl w:val="A1944CEA"/>
    <w:lvl w:ilvl="0" w:tplc="25C69D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D2675BA">
      <w:start w:val="1"/>
      <w:numFmt w:val="lowerLetter"/>
      <w:lvlText w:val="%2."/>
      <w:lvlJc w:val="left"/>
      <w:pPr>
        <w:ind w:left="1785" w:hanging="360"/>
      </w:pPr>
    </w:lvl>
    <w:lvl w:ilvl="2" w:tplc="F55A45D4">
      <w:start w:val="1"/>
      <w:numFmt w:val="lowerRoman"/>
      <w:lvlText w:val="%3."/>
      <w:lvlJc w:val="right"/>
      <w:pPr>
        <w:ind w:left="2505" w:hanging="180"/>
      </w:pPr>
    </w:lvl>
    <w:lvl w:ilvl="3" w:tplc="581A717E">
      <w:start w:val="1"/>
      <w:numFmt w:val="decimal"/>
      <w:lvlText w:val="%4."/>
      <w:lvlJc w:val="left"/>
      <w:pPr>
        <w:ind w:left="3225" w:hanging="360"/>
      </w:pPr>
    </w:lvl>
    <w:lvl w:ilvl="4" w:tplc="6F36EB46">
      <w:start w:val="1"/>
      <w:numFmt w:val="lowerLetter"/>
      <w:lvlText w:val="%5."/>
      <w:lvlJc w:val="left"/>
      <w:pPr>
        <w:ind w:left="3945" w:hanging="360"/>
      </w:pPr>
    </w:lvl>
    <w:lvl w:ilvl="5" w:tplc="7958A7EA">
      <w:start w:val="1"/>
      <w:numFmt w:val="lowerRoman"/>
      <w:lvlText w:val="%6."/>
      <w:lvlJc w:val="right"/>
      <w:pPr>
        <w:ind w:left="4665" w:hanging="180"/>
      </w:pPr>
    </w:lvl>
    <w:lvl w:ilvl="6" w:tplc="2E6A1112">
      <w:start w:val="1"/>
      <w:numFmt w:val="decimal"/>
      <w:lvlText w:val="%7."/>
      <w:lvlJc w:val="left"/>
      <w:pPr>
        <w:ind w:left="5385" w:hanging="360"/>
      </w:pPr>
    </w:lvl>
    <w:lvl w:ilvl="7" w:tplc="2B801CD6">
      <w:start w:val="1"/>
      <w:numFmt w:val="lowerLetter"/>
      <w:lvlText w:val="%8."/>
      <w:lvlJc w:val="left"/>
      <w:pPr>
        <w:ind w:left="6105" w:hanging="360"/>
      </w:pPr>
    </w:lvl>
    <w:lvl w:ilvl="8" w:tplc="A0BE0010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F91128"/>
    <w:multiLevelType w:val="hybridMultilevel"/>
    <w:tmpl w:val="BD0E6AC4"/>
    <w:lvl w:ilvl="0" w:tplc="722218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543E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743A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D0CD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6ACE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8C14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52A8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7497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9BE64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8066C51"/>
    <w:multiLevelType w:val="hybridMultilevel"/>
    <w:tmpl w:val="5F00D6F2"/>
    <w:lvl w:ilvl="0" w:tplc="C0AACEB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A23A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2C10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FA84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0050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3E90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90D0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8088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66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51165B5"/>
    <w:multiLevelType w:val="hybridMultilevel"/>
    <w:tmpl w:val="33BE5E8A"/>
    <w:lvl w:ilvl="0" w:tplc="2A241C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ED0EB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3AF5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6453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A4CC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66B2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7CEF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0A9C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CACD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E704BF"/>
    <w:multiLevelType w:val="hybridMultilevel"/>
    <w:tmpl w:val="A650F21E"/>
    <w:lvl w:ilvl="0" w:tplc="2C3AF6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78C5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141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6CF4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06C4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F4FF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1004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44C1A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CCB1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40D3E5F"/>
    <w:multiLevelType w:val="hybridMultilevel"/>
    <w:tmpl w:val="1D06BFE6"/>
    <w:lvl w:ilvl="0" w:tplc="75AA90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2240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5032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4484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3466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8225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A28C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2CAE9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E8A6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E3F32DC"/>
    <w:multiLevelType w:val="hybridMultilevel"/>
    <w:tmpl w:val="B05EB536"/>
    <w:lvl w:ilvl="0" w:tplc="50924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DFA1ED8">
      <w:start w:val="1"/>
      <w:numFmt w:val="lowerLetter"/>
      <w:lvlText w:val="%2."/>
      <w:lvlJc w:val="left"/>
      <w:pPr>
        <w:ind w:left="1785" w:hanging="360"/>
      </w:pPr>
    </w:lvl>
    <w:lvl w:ilvl="2" w:tplc="A4EEAE92">
      <w:start w:val="1"/>
      <w:numFmt w:val="lowerRoman"/>
      <w:lvlText w:val="%3."/>
      <w:lvlJc w:val="right"/>
      <w:pPr>
        <w:ind w:left="2505" w:hanging="180"/>
      </w:pPr>
    </w:lvl>
    <w:lvl w:ilvl="3" w:tplc="BD3C5F62">
      <w:start w:val="1"/>
      <w:numFmt w:val="decimal"/>
      <w:lvlText w:val="%4."/>
      <w:lvlJc w:val="left"/>
      <w:pPr>
        <w:ind w:left="3225" w:hanging="360"/>
      </w:pPr>
    </w:lvl>
    <w:lvl w:ilvl="4" w:tplc="D0028CD0">
      <w:start w:val="1"/>
      <w:numFmt w:val="lowerLetter"/>
      <w:lvlText w:val="%5."/>
      <w:lvlJc w:val="left"/>
      <w:pPr>
        <w:ind w:left="3945" w:hanging="360"/>
      </w:pPr>
    </w:lvl>
    <w:lvl w:ilvl="5" w:tplc="8CE22AE2">
      <w:start w:val="1"/>
      <w:numFmt w:val="lowerRoman"/>
      <w:lvlText w:val="%6."/>
      <w:lvlJc w:val="right"/>
      <w:pPr>
        <w:ind w:left="4665" w:hanging="180"/>
      </w:pPr>
    </w:lvl>
    <w:lvl w:ilvl="6" w:tplc="78BEA7C8">
      <w:start w:val="1"/>
      <w:numFmt w:val="decimal"/>
      <w:lvlText w:val="%7."/>
      <w:lvlJc w:val="left"/>
      <w:pPr>
        <w:ind w:left="5385" w:hanging="360"/>
      </w:pPr>
    </w:lvl>
    <w:lvl w:ilvl="7" w:tplc="3E800DB4">
      <w:start w:val="1"/>
      <w:numFmt w:val="lowerLetter"/>
      <w:lvlText w:val="%8."/>
      <w:lvlJc w:val="left"/>
      <w:pPr>
        <w:ind w:left="6105" w:hanging="360"/>
      </w:pPr>
    </w:lvl>
    <w:lvl w:ilvl="8" w:tplc="0462A39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72"/>
    <w:rsid w:val="002F260E"/>
    <w:rsid w:val="003B2889"/>
    <w:rsid w:val="00F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BD848-66D9-4B9F-AEAA-D59FCA1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link w:val="ConsPlus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Style4">
    <w:name w:val="Style4"/>
    <w:basedOn w:val="a"/>
    <w:uiPriority w:val="99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uiPriority w:val="99"/>
    <w:qFormat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pPr>
      <w:widowControl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Pr>
      <w:rFonts w:ascii="Times New Roman" w:hAnsi="Times New Roman"/>
      <w:sz w:val="22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afd">
    <w:name w:val="Знак"/>
    <w:basedOn w:val="a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link w:val="ListTable4-Accent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Информированность населения о мерах, принимаемых властями региона по противодействию коррупции, (%)</a:t>
            </a:r>
          </a:p>
        </c:rich>
      </c:tx>
      <c:layout>
        <c:manualLayout>
          <c:xMode val="edge"/>
          <c:yMode val="edge"/>
          <c:x val="0.10754"/>
          <c:y val="3.065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A1-4DBF-A34D-124269ED64D4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10</c:v>
                </c:pt>
                <c:pt idx="1">
                  <c:v>18</c:v>
                </c:pt>
                <c:pt idx="2">
                  <c:v>29</c:v>
                </c:pt>
                <c:pt idx="3">
                  <c:v>38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A1-4DBF-A34D-124269ED64D4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28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A1-4DBF-A34D-124269ED64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866169513"/>
        <c:axId val="1866169514"/>
      </c:barChart>
      <c:catAx>
        <c:axId val="186616951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4"/>
        <c:crosses val="autoZero"/>
        <c:auto val="1"/>
        <c:lblAlgn val="ctr"/>
        <c:lblOffset val="100"/>
        <c:noMultiLvlLbl val="0"/>
      </c:catAx>
      <c:valAx>
        <c:axId val="186616951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3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259727048713162"/>
          <c:y val="0.92947797345360861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6" cy="393826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Информированность представителей  бизнеса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о мерах, принимаемых властями региона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9153999999999999"/>
          <c:y val="1.619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A9-491D-8642-DF99EFE31A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24</c:v>
                </c:pt>
                <c:pt idx="1">
                  <c:v>31</c:v>
                </c:pt>
                <c:pt idx="2">
                  <c:v>17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A9-491D-8642-DF99EFE31A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24</c:v>
                </c:pt>
                <c:pt idx="1">
                  <c:v>35</c:v>
                </c:pt>
                <c:pt idx="2">
                  <c:v>18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A9-491D-8642-DF99EFE31A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524685024"/>
        <c:axId val="524683848"/>
      </c:barChart>
      <c:catAx>
        <c:axId val="52468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3848"/>
        <c:crosses val="autoZero"/>
        <c:auto val="1"/>
        <c:lblAlgn val="ctr"/>
        <c:lblOffset val="100"/>
        <c:noMultiLvlLbl val="0"/>
      </c:catAx>
      <c:valAx>
        <c:axId val="52468384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5024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1" cy="39179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6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6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08-4413-816D-FE1820D1E0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9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08-4413-816D-FE1820D1E0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08-4413-816D-FE1820D1E0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1866169535"/>
        <c:axId val="1866169536"/>
      </c:barChart>
      <c:catAx>
        <c:axId val="1866169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6"/>
        <c:crosses val="autoZero"/>
        <c:auto val="1"/>
        <c:lblAlgn val="ctr"/>
        <c:lblOffset val="100"/>
        <c:noMultiLvlLbl val="0"/>
      </c:catAx>
      <c:valAx>
        <c:axId val="18661695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5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27517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представителями бизнеса эффективности принимаемых властями региона мер </a:t>
            </a:r>
            <a:endParaRPr lang="ru-RU">
              <a:solidFill>
                <a:schemeClr val="tx1"/>
              </a:solidFill>
            </a:endParaRPr>
          </a:p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13-4AC8-82ED-A766A88627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34</c:v>
                </c:pt>
                <c:pt idx="1">
                  <c:v>2</c:v>
                </c:pt>
                <c:pt idx="2">
                  <c:v>15</c:v>
                </c:pt>
                <c:pt idx="3">
                  <c:v>18</c:v>
                </c:pt>
                <c:pt idx="4">
                  <c:v>21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13-4AC8-82ED-A766A88627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27</c:v>
                </c:pt>
                <c:pt idx="1">
                  <c:v>3</c:v>
                </c:pt>
                <c:pt idx="2">
                  <c:v>16</c:v>
                </c:pt>
                <c:pt idx="3">
                  <c:v>14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13-4AC8-82ED-A766A88627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369270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уровня коррумпированности органов власти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028552443066393"/>
          <c:y val="1.7712129669385998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8650000000000001E-2"/>
          <c:y val="0.23622000000000001"/>
          <c:w val="0.92047999999999996"/>
          <c:h val="0.59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0-4352-A711-215CB50D40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6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A0-4352-A711-215CB50D40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6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A0-4352-A711-215CB50D40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524699136"/>
        <c:axId val="524699920"/>
      </c:barChart>
      <c:catAx>
        <c:axId val="52469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920"/>
        <c:crosses val="autoZero"/>
        <c:auto val="1"/>
        <c:lblAlgn val="ctr"/>
        <c:lblOffset val="100"/>
        <c:noMultiLvlLbl val="0"/>
      </c:catAx>
      <c:valAx>
        <c:axId val="5246999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13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2" cy="295787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Результаты обращений в государственные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и муниципальные учреждения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'Лист1'!$B$35:$B$38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B0-4703-9C46-3734EC5F5ECB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'Лист1'!$C$35:$C$38</c:f>
              <c:numCache>
                <c:formatCode>General</c:formatCode>
                <c:ptCount val="4"/>
                <c:pt idx="0">
                  <c:v>56</c:v>
                </c:pt>
                <c:pt idx="1">
                  <c:v>27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B0-4703-9C46-3734EC5F5ECB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'Лист1'!$D$35:$D$38</c:f>
              <c:numCache>
                <c:formatCode>General</c:formatCode>
                <c:ptCount val="4"/>
                <c:pt idx="0">
                  <c:v>55</c:v>
                </c:pt>
                <c:pt idx="1">
                  <c:v>29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B0-4703-9C46-3734EC5F5E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529"/>
        <c:axId val="1866169530"/>
      </c:barChart>
      <c:catAx>
        <c:axId val="186616952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0"/>
        <c:crosses val="autoZero"/>
        <c:auto val="1"/>
        <c:lblAlgn val="ctr"/>
        <c:lblOffset val="100"/>
        <c:noMultiLvlLbl val="0"/>
      </c:catAx>
      <c:valAx>
        <c:axId val="186616953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29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9" cy="390143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Основные результаты от бытовой коррупции,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(2)'!$B$42:$B$47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FD-4C6B-9FB0-28E2E02EF764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(2)'!$C$42:$C$47</c:f>
              <c:numCache>
                <c:formatCode>General</c:formatCode>
                <c:ptCount val="6"/>
                <c:pt idx="0">
                  <c:v>34</c:v>
                </c:pt>
                <c:pt idx="1">
                  <c:v>9</c:v>
                </c:pt>
                <c:pt idx="2">
                  <c:v>14</c:v>
                </c:pt>
                <c:pt idx="3">
                  <c:v>12</c:v>
                </c:pt>
                <c:pt idx="4">
                  <c:v>22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FD-4C6B-9FB0-28E2E02EF764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(2)'!$D$42:$D$47</c:f>
              <c:numCache>
                <c:formatCode>General</c:formatCode>
                <c:ptCount val="6"/>
                <c:pt idx="0">
                  <c:v>29</c:v>
                </c:pt>
                <c:pt idx="1">
                  <c:v>7</c:v>
                </c:pt>
                <c:pt idx="2">
                  <c:v>11</c:v>
                </c:pt>
                <c:pt idx="3">
                  <c:v>13</c:v>
                </c:pt>
                <c:pt idx="4">
                  <c:v>23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FD-4C6B-9FB0-28E2E02EF7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553"/>
        <c:axId val="1866169554"/>
      </c:barChart>
      <c:catAx>
        <c:axId val="186616955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4"/>
        <c:crosses val="autoZero"/>
        <c:auto val="1"/>
        <c:lblAlgn val="ctr"/>
        <c:lblOffset val="100"/>
        <c:noMultiLvlLbl val="0"/>
      </c:catAx>
      <c:valAx>
        <c:axId val="186616955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3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66808036926418"/>
          <c:y val="0.94040647148056589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92976" cy="366523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Причины распространения коррупции,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(2)'!$B$35:$B$38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4-42E6-BD39-4A0CBB9795F2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(2)'!$C$35:$C$38</c:f>
              <c:numCache>
                <c:formatCode>General</c:formatCode>
                <c:ptCount val="4"/>
                <c:pt idx="0">
                  <c:v>33</c:v>
                </c:pt>
                <c:pt idx="1">
                  <c:v>22</c:v>
                </c:pt>
                <c:pt idx="2">
                  <c:v>15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04-42E6-BD39-4A0CBB9795F2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(2)'!$D$35:$D$38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>
                  <c:v>16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04-42E6-BD39-4A0CBB9795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8"/>
        <c:axId val="1866169497"/>
        <c:axId val="1866169498"/>
      </c:barChart>
      <c:catAx>
        <c:axId val="186616949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8"/>
        <c:crosses val="autoZero"/>
        <c:auto val="1"/>
        <c:lblAlgn val="ctr"/>
        <c:lblOffset val="100"/>
        <c:noMultiLvlLbl val="0"/>
      </c:catAx>
      <c:valAx>
        <c:axId val="186616949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7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08910" cy="401020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6B24-AA29-445E-A2B2-B7505F30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Computer</cp:lastModifiedBy>
  <cp:revision>2</cp:revision>
  <dcterms:created xsi:type="dcterms:W3CDTF">2025-04-03T06:30:00Z</dcterms:created>
  <dcterms:modified xsi:type="dcterms:W3CDTF">2025-04-03T06:30:00Z</dcterms:modified>
</cp:coreProperties>
</file>