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0E" w:rsidRDefault="00D2650E">
      <w:pPr>
        <w:rPr>
          <w:sz w:val="2"/>
          <w:szCs w:val="2"/>
        </w:rPr>
        <w:sectPr w:rsidR="00D2650E">
          <w:headerReference w:type="default" r:id="rId7"/>
          <w:pgSz w:w="16840" w:h="11900" w:orient="landscape"/>
          <w:pgMar w:top="1038" w:right="0" w:bottom="825" w:left="0" w:header="0" w:footer="3" w:gutter="0"/>
          <w:cols w:space="720"/>
          <w:noEndnote/>
          <w:docGrid w:linePitch="360"/>
        </w:sectPr>
      </w:pPr>
    </w:p>
    <w:p w:rsidR="00D2650E" w:rsidRDefault="002A38A1" w:rsidP="002A38A1">
      <w:pPr>
        <w:pStyle w:val="20"/>
        <w:shd w:val="clear" w:color="auto" w:fill="auto"/>
        <w:spacing w:after="0" w:line="240" w:lineRule="auto"/>
        <w:jc w:val="center"/>
      </w:pPr>
      <w:r>
        <w:lastRenderedPageBreak/>
        <w:t xml:space="preserve">                                                                           </w:t>
      </w:r>
      <w:r w:rsidR="00661B86">
        <w:t xml:space="preserve">                     УТВЕРЖДАЮ</w:t>
      </w:r>
      <w:r>
        <w:t xml:space="preserve">                                                                                                     </w:t>
      </w:r>
    </w:p>
    <w:p w:rsidR="00661B86" w:rsidRDefault="002A38A1" w:rsidP="00661B86">
      <w:pPr>
        <w:pStyle w:val="20"/>
        <w:shd w:val="clear" w:color="auto" w:fill="auto"/>
        <w:tabs>
          <w:tab w:val="left" w:pos="9915"/>
          <w:tab w:val="left" w:pos="12345"/>
          <w:tab w:val="right" w:pos="15254"/>
        </w:tabs>
        <w:spacing w:after="0" w:line="240" w:lineRule="auto"/>
        <w:jc w:val="left"/>
      </w:pPr>
      <w:r>
        <w:tab/>
      </w:r>
      <w:r w:rsidR="00661B86">
        <w:t>Глава муниципального образования</w:t>
      </w:r>
    </w:p>
    <w:p w:rsidR="00661B86" w:rsidRDefault="00661B86" w:rsidP="00661B86">
      <w:pPr>
        <w:pStyle w:val="20"/>
        <w:shd w:val="clear" w:color="auto" w:fill="auto"/>
        <w:tabs>
          <w:tab w:val="left" w:pos="9915"/>
          <w:tab w:val="left" w:pos="12345"/>
          <w:tab w:val="right" w:pos="15254"/>
        </w:tabs>
        <w:spacing w:after="0" w:line="240" w:lineRule="auto"/>
        <w:jc w:val="left"/>
      </w:pPr>
      <w:r>
        <w:tab/>
        <w:t>Грачевского района</w:t>
      </w:r>
    </w:p>
    <w:p w:rsidR="00DB041F" w:rsidRDefault="00661B86" w:rsidP="00661B86">
      <w:pPr>
        <w:pStyle w:val="20"/>
        <w:shd w:val="clear" w:color="auto" w:fill="auto"/>
        <w:tabs>
          <w:tab w:val="left" w:pos="9855"/>
          <w:tab w:val="left" w:pos="9915"/>
          <w:tab w:val="left" w:pos="12345"/>
          <w:tab w:val="right" w:pos="15254"/>
        </w:tabs>
        <w:spacing w:after="0" w:line="240" w:lineRule="auto"/>
        <w:jc w:val="left"/>
      </w:pPr>
      <w:r>
        <w:tab/>
      </w:r>
      <w:r>
        <w:tab/>
        <w:t>О.М. Свиридов__________________</w:t>
      </w:r>
      <w:r w:rsidR="00DB041F">
        <w:t xml:space="preserve"> </w:t>
      </w:r>
    </w:p>
    <w:p w:rsidR="00DB041F" w:rsidRDefault="002A38A1" w:rsidP="00661B86">
      <w:pPr>
        <w:pStyle w:val="20"/>
        <w:shd w:val="clear" w:color="auto" w:fill="auto"/>
        <w:tabs>
          <w:tab w:val="left" w:pos="9885"/>
          <w:tab w:val="left" w:pos="12405"/>
          <w:tab w:val="right" w:pos="15254"/>
        </w:tabs>
        <w:spacing w:after="0" w:line="240" w:lineRule="auto"/>
        <w:jc w:val="left"/>
      </w:pPr>
      <w:r>
        <w:tab/>
      </w:r>
      <w:r w:rsidR="00661B86">
        <w:t>«____»</w:t>
      </w:r>
      <w:r w:rsidR="00B96528">
        <w:t xml:space="preserve"> </w:t>
      </w:r>
      <w:r w:rsidR="00661B86">
        <w:t>_____________20___г</w:t>
      </w:r>
    </w:p>
    <w:p w:rsidR="00D2650E" w:rsidRDefault="00A97B51">
      <w:pPr>
        <w:pStyle w:val="30"/>
        <w:shd w:val="clear" w:color="auto" w:fill="auto"/>
        <w:spacing w:before="0" w:after="0" w:line="260" w:lineRule="exact"/>
        <w:ind w:right="120"/>
      </w:pPr>
      <w:r>
        <w:t>КАРТА</w:t>
      </w:r>
    </w:p>
    <w:p w:rsidR="00D2650E" w:rsidRDefault="00DB041F">
      <w:pPr>
        <w:pStyle w:val="30"/>
        <w:shd w:val="clear" w:color="auto" w:fill="auto"/>
        <w:spacing w:before="0" w:after="0" w:line="260" w:lineRule="exact"/>
        <w:ind w:right="120"/>
      </w:pPr>
      <w:r>
        <w:t>Р</w:t>
      </w:r>
      <w:r w:rsidR="00A97B51">
        <w:t>исков</w:t>
      </w:r>
      <w:r>
        <w:t xml:space="preserve"> нарушения антимонопольного законодательства администрации муниципального образования Грачевский район Оренбургской области</w:t>
      </w:r>
    </w:p>
    <w:p w:rsidR="00DB041F" w:rsidRDefault="00DB041F">
      <w:pPr>
        <w:pStyle w:val="30"/>
        <w:shd w:val="clear" w:color="auto" w:fill="auto"/>
        <w:spacing w:before="0" w:after="0" w:line="260" w:lineRule="exact"/>
        <w:ind w:right="1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56"/>
        <w:gridCol w:w="5157"/>
        <w:gridCol w:w="5157"/>
      </w:tblGrid>
      <w:tr w:rsidR="00DB041F" w:rsidTr="00DB041F">
        <w:tc>
          <w:tcPr>
            <w:tcW w:w="5156" w:type="dxa"/>
          </w:tcPr>
          <w:p w:rsidR="00DB041F" w:rsidRDefault="00DB041F">
            <w:pPr>
              <w:pStyle w:val="30"/>
              <w:shd w:val="clear" w:color="auto" w:fill="auto"/>
              <w:spacing w:before="0" w:after="0" w:line="260" w:lineRule="exact"/>
              <w:ind w:right="120"/>
            </w:pPr>
            <w:r>
              <w:t>Наименование риска</w:t>
            </w:r>
          </w:p>
        </w:tc>
        <w:tc>
          <w:tcPr>
            <w:tcW w:w="5157" w:type="dxa"/>
          </w:tcPr>
          <w:p w:rsidR="00DB041F" w:rsidRDefault="00DB041F">
            <w:pPr>
              <w:pStyle w:val="30"/>
              <w:shd w:val="clear" w:color="auto" w:fill="auto"/>
              <w:spacing w:before="0" w:after="0" w:line="260" w:lineRule="exact"/>
              <w:ind w:right="120"/>
            </w:pPr>
            <w:r>
              <w:t>Уровень риска</w:t>
            </w:r>
          </w:p>
        </w:tc>
        <w:tc>
          <w:tcPr>
            <w:tcW w:w="5157" w:type="dxa"/>
          </w:tcPr>
          <w:p w:rsidR="00DB041F" w:rsidRDefault="00DB041F">
            <w:pPr>
              <w:pStyle w:val="30"/>
              <w:shd w:val="clear" w:color="auto" w:fill="auto"/>
              <w:spacing w:before="0" w:after="0" w:line="260" w:lineRule="exact"/>
              <w:ind w:right="120"/>
            </w:pPr>
            <w:r>
              <w:rPr>
                <w:rStyle w:val="21"/>
              </w:rPr>
              <w:t>Причины (условия) возникновения риска</w:t>
            </w:r>
          </w:p>
        </w:tc>
      </w:tr>
      <w:tr w:rsidR="00E104F7" w:rsidTr="00160305">
        <w:tc>
          <w:tcPr>
            <w:tcW w:w="15470" w:type="dxa"/>
            <w:gridSpan w:val="3"/>
          </w:tcPr>
          <w:p w:rsidR="00E104F7" w:rsidRDefault="00E104F7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Нарушения при разработке нормативных правовых актов</w:t>
            </w:r>
          </w:p>
        </w:tc>
      </w:tr>
      <w:tr w:rsidR="00DB041F" w:rsidTr="00DB041F">
        <w:tc>
          <w:tcPr>
            <w:tcW w:w="5156" w:type="dxa"/>
          </w:tcPr>
          <w:p w:rsidR="00DB041F" w:rsidRPr="00E104F7" w:rsidRDefault="00E104F7" w:rsidP="00B96528">
            <w:pPr>
              <w:pStyle w:val="30"/>
              <w:shd w:val="clear" w:color="auto" w:fill="auto"/>
              <w:spacing w:before="0" w:after="0" w:line="260" w:lineRule="exact"/>
              <w:ind w:right="120"/>
              <w:jc w:val="left"/>
              <w:rPr>
                <w:rStyle w:val="21"/>
                <w:b w:val="0"/>
              </w:rPr>
            </w:pPr>
            <w:r w:rsidRPr="00E104F7">
              <w:rPr>
                <w:rStyle w:val="21"/>
                <w:b w:val="0"/>
              </w:rPr>
              <w:t xml:space="preserve">Разработка проектов и принятие нормативных правовых актов в </w:t>
            </w:r>
            <w:r w:rsidR="00B96528">
              <w:rPr>
                <w:rStyle w:val="21"/>
                <w:b w:val="0"/>
              </w:rPr>
              <w:t>администрации муниципального образования Грачевский район  структурных подраздеениях</w:t>
            </w:r>
            <w:r w:rsidRPr="00E104F7">
              <w:rPr>
                <w:rStyle w:val="21"/>
                <w:b w:val="0"/>
              </w:rPr>
              <w:t>, влекущее нарушения антимонопольного законодательства</w:t>
            </w:r>
          </w:p>
        </w:tc>
        <w:tc>
          <w:tcPr>
            <w:tcW w:w="5157" w:type="dxa"/>
          </w:tcPr>
          <w:p w:rsidR="00DB041F" w:rsidRPr="004416B8" w:rsidRDefault="00E104F7" w:rsidP="00DB041F">
            <w:pPr>
              <w:pStyle w:val="30"/>
              <w:shd w:val="clear" w:color="auto" w:fill="auto"/>
              <w:spacing w:before="0" w:after="0" w:line="260" w:lineRule="exact"/>
              <w:ind w:right="120"/>
              <w:jc w:val="left"/>
              <w:rPr>
                <w:rStyle w:val="2PalatinoLinotype8pt0pt"/>
                <w:rFonts w:ascii="Times New Roman" w:hAnsi="Times New Roman" w:cs="Times New Roman"/>
                <w:sz w:val="24"/>
                <w:szCs w:val="24"/>
              </w:rPr>
            </w:pPr>
            <w:r w:rsidRPr="004416B8">
              <w:rPr>
                <w:rStyle w:val="2PalatinoLinotype8pt0pt"/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  <w:tc>
          <w:tcPr>
            <w:tcW w:w="5157" w:type="dxa"/>
          </w:tcPr>
          <w:p w:rsidR="00E104F7" w:rsidRDefault="00E104F7" w:rsidP="00E104F7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00"/>
              </w:tabs>
              <w:spacing w:after="0" w:line="314" w:lineRule="exact"/>
              <w:jc w:val="left"/>
            </w:pPr>
            <w:r>
              <w:rPr>
                <w:rStyle w:val="21"/>
              </w:rPr>
              <w:t>недостаточный уровень внутреннего контроля;</w:t>
            </w:r>
          </w:p>
          <w:p w:rsidR="00E104F7" w:rsidRDefault="00E104F7" w:rsidP="00E104F7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spacing w:after="0" w:line="314" w:lineRule="exact"/>
              <w:jc w:val="left"/>
            </w:pPr>
            <w:r>
              <w:rPr>
                <w:rStyle w:val="21"/>
              </w:rPr>
              <w:t>недостаточная координация процесса разработки проекта нормативного правового акта и принятия норматив</w:t>
            </w:r>
            <w:r w:rsidR="00B96528">
              <w:rPr>
                <w:rStyle w:val="21"/>
              </w:rPr>
              <w:t>ного правового акта администрации</w:t>
            </w:r>
            <w:r>
              <w:rPr>
                <w:rStyle w:val="21"/>
              </w:rPr>
              <w:t xml:space="preserve"> со стороны руководителей;</w:t>
            </w:r>
          </w:p>
          <w:p w:rsidR="00E104F7" w:rsidRDefault="00E104F7" w:rsidP="00E104F7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14"/>
              </w:tabs>
              <w:spacing w:after="0" w:line="314" w:lineRule="exact"/>
              <w:jc w:val="left"/>
            </w:pPr>
            <w:r>
              <w:rPr>
                <w:rStyle w:val="21"/>
              </w:rPr>
              <w:t>недостаточный уровень правовой экспертизы и анализа проектов нормативных правовых актов на соответствие требованиям антимонопольного законодательства;</w:t>
            </w:r>
          </w:p>
          <w:p w:rsidR="00E104F7" w:rsidRDefault="00E104F7" w:rsidP="00E104F7">
            <w:pPr>
              <w:pStyle w:val="20"/>
              <w:shd w:val="clear" w:color="auto" w:fill="auto"/>
              <w:spacing w:after="0" w:line="310" w:lineRule="exact"/>
              <w:jc w:val="left"/>
            </w:pPr>
            <w:r>
              <w:rPr>
                <w:rStyle w:val="21"/>
              </w:rPr>
              <w:t>поручение вышестоящего руководства;</w:t>
            </w:r>
          </w:p>
          <w:p w:rsidR="00DB041F" w:rsidRDefault="00E104F7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5) длительная процедура согласования проектов нормативных правовых актов с заинтересованными органами и организациями</w:t>
            </w:r>
          </w:p>
        </w:tc>
      </w:tr>
      <w:tr w:rsidR="00E104F7" w:rsidTr="008B0406">
        <w:tc>
          <w:tcPr>
            <w:tcW w:w="15470" w:type="dxa"/>
            <w:gridSpan w:val="3"/>
          </w:tcPr>
          <w:p w:rsidR="00E104F7" w:rsidRDefault="00E104F7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Нарушения при осуществлении закупок</w:t>
            </w:r>
          </w:p>
        </w:tc>
      </w:tr>
      <w:tr w:rsidR="00E104F7" w:rsidTr="00DB041F">
        <w:tc>
          <w:tcPr>
            <w:tcW w:w="5156" w:type="dxa"/>
          </w:tcPr>
          <w:p w:rsidR="0020741F" w:rsidRDefault="0020741F" w:rsidP="0020741F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60" w:lineRule="exact"/>
              <w:ind w:right="120"/>
              <w:jc w:val="left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Нарушение порядка разработки размещения документации о закупках;</w:t>
            </w:r>
          </w:p>
          <w:p w:rsidR="00E104F7" w:rsidRPr="00E104F7" w:rsidRDefault="00E104F7" w:rsidP="0020741F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60" w:lineRule="exact"/>
              <w:ind w:right="120"/>
              <w:jc w:val="left"/>
              <w:rPr>
                <w:rStyle w:val="21"/>
                <w:b w:val="0"/>
              </w:rPr>
            </w:pPr>
            <w:r w:rsidRPr="00E104F7">
              <w:rPr>
                <w:rStyle w:val="21"/>
                <w:b w:val="0"/>
              </w:rPr>
              <w:lastRenderedPageBreak/>
              <w:t>Нарушение антимонопольного законодательства в результате необоснованного ограничения допуска к торгам участников закупки</w:t>
            </w:r>
          </w:p>
        </w:tc>
        <w:tc>
          <w:tcPr>
            <w:tcW w:w="5157" w:type="dxa"/>
          </w:tcPr>
          <w:p w:rsidR="00E104F7" w:rsidRPr="00E104F7" w:rsidRDefault="00E104F7" w:rsidP="00DB041F">
            <w:pPr>
              <w:pStyle w:val="30"/>
              <w:shd w:val="clear" w:color="auto" w:fill="auto"/>
              <w:spacing w:before="0" w:after="0" w:line="260" w:lineRule="exact"/>
              <w:ind w:right="120"/>
              <w:jc w:val="left"/>
              <w:rPr>
                <w:rStyle w:val="2PalatinoLinotype8pt0pt"/>
                <w:sz w:val="24"/>
                <w:szCs w:val="24"/>
              </w:rPr>
            </w:pPr>
            <w:r w:rsidRPr="00E104F7">
              <w:rPr>
                <w:rStyle w:val="2PalatinoLinotype8pt0pt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5157" w:type="dxa"/>
          </w:tcPr>
          <w:p w:rsidR="00E104F7" w:rsidRDefault="00E104F7" w:rsidP="00E104F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after="0" w:line="312" w:lineRule="exact"/>
              <w:jc w:val="left"/>
            </w:pPr>
            <w:r>
              <w:rPr>
                <w:rStyle w:val="21"/>
              </w:rPr>
              <w:t xml:space="preserve">нарушение </w:t>
            </w:r>
            <w:r w:rsidR="0020741F">
              <w:rPr>
                <w:rStyle w:val="21"/>
              </w:rPr>
              <w:t>порядка определения</w:t>
            </w:r>
            <w:r>
              <w:rPr>
                <w:rStyle w:val="21"/>
              </w:rPr>
              <w:t xml:space="preserve"> НМЦК;</w:t>
            </w:r>
          </w:p>
          <w:p w:rsidR="00E104F7" w:rsidRDefault="00E104F7" w:rsidP="00E104F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8"/>
              </w:tabs>
              <w:spacing w:after="0" w:line="312" w:lineRule="exact"/>
              <w:jc w:val="left"/>
            </w:pPr>
            <w:r>
              <w:rPr>
                <w:rStyle w:val="21"/>
              </w:rPr>
              <w:t>отсутствие надлежащей экспертизы документации закупки;</w:t>
            </w:r>
          </w:p>
          <w:p w:rsidR="00E104F7" w:rsidRDefault="00E104F7" w:rsidP="00E104F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98"/>
              </w:tabs>
              <w:spacing w:after="0" w:line="312" w:lineRule="exact"/>
              <w:jc w:val="left"/>
            </w:pPr>
            <w:r>
              <w:rPr>
                <w:rStyle w:val="21"/>
              </w:rPr>
              <w:lastRenderedPageBreak/>
              <w:t>нарушение порядка и сроков размещения документации закупки;</w:t>
            </w:r>
          </w:p>
          <w:p w:rsidR="00E104F7" w:rsidRDefault="00E104F7" w:rsidP="00E104F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after="0" w:line="312" w:lineRule="exact"/>
              <w:jc w:val="left"/>
            </w:pPr>
            <w:r>
              <w:rPr>
                <w:rStyle w:val="21"/>
              </w:rPr>
              <w:t>непринятие мер по исключению конфликта интересов;</w:t>
            </w:r>
          </w:p>
          <w:p w:rsidR="00E104F7" w:rsidRDefault="00E104F7" w:rsidP="00E104F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after="0" w:line="312" w:lineRule="exact"/>
              <w:jc w:val="left"/>
            </w:pPr>
            <w:r>
              <w:rPr>
                <w:rStyle w:val="21"/>
              </w:rPr>
              <w:t>отсутствие разъяснений уполномоченного органа (организации) по вопросам проведения закупок;</w:t>
            </w:r>
          </w:p>
          <w:p w:rsidR="0020741F" w:rsidRDefault="0020741F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6)</w:t>
            </w:r>
            <w:r w:rsidR="00E104F7">
              <w:rPr>
                <w:rStyle w:val="21"/>
              </w:rPr>
              <w:t>отсутствие достаточной квалификации сотрудников</w:t>
            </w:r>
            <w:r w:rsidR="00AE4DEF">
              <w:rPr>
                <w:rStyle w:val="21"/>
              </w:rPr>
              <w:t>;</w:t>
            </w:r>
          </w:p>
          <w:p w:rsidR="00AE4DEF" w:rsidRDefault="00AE4DEF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7)Нарушение порядка описания  предмета закупки, требования к предмету закупки и к участникам закупки.</w:t>
            </w:r>
          </w:p>
          <w:p w:rsidR="00854302" w:rsidRDefault="00854302" w:rsidP="00E104F7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</w:rPr>
            </w:pPr>
          </w:p>
        </w:tc>
      </w:tr>
      <w:tr w:rsidR="009442A8" w:rsidTr="00270F23">
        <w:tc>
          <w:tcPr>
            <w:tcW w:w="15470" w:type="dxa"/>
            <w:gridSpan w:val="3"/>
          </w:tcPr>
          <w:p w:rsidR="009442A8" w:rsidRDefault="009442A8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 антимонопольного законодательства в финансовом отделе</w:t>
            </w:r>
          </w:p>
        </w:tc>
      </w:tr>
      <w:tr w:rsidR="00661B86" w:rsidTr="00DB041F">
        <w:tc>
          <w:tcPr>
            <w:tcW w:w="5156" w:type="dxa"/>
          </w:tcPr>
          <w:p w:rsidR="00661B86" w:rsidRDefault="00661B86" w:rsidP="00AE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1F">
              <w:rPr>
                <w:rStyle w:val="21"/>
                <w:rFonts w:eastAsia="Tahoma"/>
              </w:rPr>
              <w:t xml:space="preserve">Представление необоснованных преференций </w:t>
            </w:r>
            <w:r>
              <w:rPr>
                <w:rStyle w:val="21"/>
                <w:rFonts w:eastAsia="Tahoma"/>
              </w:rPr>
              <w:t>о</w:t>
            </w:r>
            <w:r w:rsidRPr="00DB041F">
              <w:rPr>
                <w:rStyle w:val="21"/>
                <w:rFonts w:eastAsia="Tahoma"/>
              </w:rPr>
              <w:t xml:space="preserve"> предоставлении субсидии на реализацию социально значимых проектов и программ в </w:t>
            </w:r>
            <w:r w:rsidRPr="00DB041F">
              <w:t>администрации муниципального образования Грачевский район Оренбургской области</w:t>
            </w:r>
          </w:p>
        </w:tc>
        <w:tc>
          <w:tcPr>
            <w:tcW w:w="5157" w:type="dxa"/>
          </w:tcPr>
          <w:p w:rsidR="00661B86" w:rsidRDefault="00661B86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1F">
              <w:rPr>
                <w:rStyle w:val="2PalatinoLinotype8pt0pt"/>
                <w:rFonts w:ascii="Times New Roman" w:hAnsi="Times New Roman" w:cs="Times New Roman"/>
              </w:rPr>
              <w:t>НИЗКИЙ</w:t>
            </w:r>
          </w:p>
        </w:tc>
        <w:tc>
          <w:tcPr>
            <w:tcW w:w="5157" w:type="dxa"/>
          </w:tcPr>
          <w:p w:rsidR="00661B86" w:rsidRPr="00DB041F" w:rsidRDefault="00661B86" w:rsidP="00661B8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</w:pPr>
            <w:r>
              <w:rPr>
                <w:rStyle w:val="21"/>
              </w:rPr>
              <w:t xml:space="preserve">недостаточный уровень внутриведомственного и межведомственного взаимодействия, в том числе электронного, при проверке </w:t>
            </w:r>
            <w:r w:rsidRPr="00DB041F">
              <w:rPr>
                <w:rStyle w:val="21"/>
              </w:rPr>
              <w:t>представленных документов (данных);</w:t>
            </w:r>
          </w:p>
          <w:p w:rsidR="00661B86" w:rsidRPr="00DB041F" w:rsidRDefault="00661B86" w:rsidP="00661B86">
            <w:pPr>
              <w:pStyle w:val="30"/>
              <w:shd w:val="clear" w:color="auto" w:fill="auto"/>
              <w:spacing w:before="0" w:after="0" w:line="260" w:lineRule="exact"/>
              <w:ind w:right="120"/>
              <w:jc w:val="left"/>
              <w:rPr>
                <w:b w:val="0"/>
              </w:rPr>
            </w:pPr>
            <w:r>
              <w:rPr>
                <w:rStyle w:val="21"/>
                <w:b w:val="0"/>
              </w:rPr>
              <w:t>2)</w:t>
            </w:r>
            <w:r w:rsidRPr="00DB041F">
              <w:rPr>
                <w:rStyle w:val="21"/>
                <w:b w:val="0"/>
              </w:rPr>
              <w:t xml:space="preserve">недостаточная подготовка к проведению конкурсного отбора вследствие чрезмерной загрузки сотрудников </w:t>
            </w:r>
            <w:r w:rsidRPr="00DB041F">
              <w:rPr>
                <w:b w:val="0"/>
              </w:rPr>
              <w:t>администрации муниципального образования Грачевский район Оренбургской области</w:t>
            </w:r>
          </w:p>
          <w:p w:rsidR="00661B86" w:rsidRDefault="00661B86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5F2" w:rsidTr="00DB041F">
        <w:tc>
          <w:tcPr>
            <w:tcW w:w="5156" w:type="dxa"/>
          </w:tcPr>
          <w:p w:rsidR="002415F2" w:rsidRDefault="002415F2" w:rsidP="00AE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согласование  нормативных правовых актов, относящихся к компетенции финансового отдела администрации Грачевского района, содержащих положения, реализация которых влечет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 антимонопольного законодательства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незначительный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Ошибочное  применение и толкование  норм права при разработке нормативных правовых актов. Недостаточный уровень квалификации  сотрудников в данной сфере.</w:t>
            </w:r>
          </w:p>
        </w:tc>
      </w:tr>
      <w:tr w:rsidR="002415F2" w:rsidTr="00DB041F">
        <w:tc>
          <w:tcPr>
            <w:tcW w:w="5156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в рамках ответа на обращение гражданина или юридического лица  информации в приоритетном порядке, а так же дополнительной информации не размещенной в открытом доступе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достаточный уровень организации  самоконтроля, внутреннего контроля при рассмотрении обращений граждан и юридических лиц.</w:t>
            </w:r>
          </w:p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 доступа к информации  о деятельности финансового отдела.</w:t>
            </w:r>
          </w:p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 инструкции по работе с обращениями граждан, юридических лиц.</w:t>
            </w:r>
          </w:p>
        </w:tc>
      </w:tr>
      <w:tr w:rsidR="002415F2" w:rsidTr="00DB041F">
        <w:tc>
          <w:tcPr>
            <w:tcW w:w="5156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антимонопольного законодательства в результате необоснованного ограничения допуска участников закупки при проведении процедуры закупки товаров, работ, услуг для обеспечения нужд финансового отдела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5157" w:type="dxa"/>
          </w:tcPr>
          <w:p w:rsid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Ошибочное  применение и толкование  норм права при разработке нормативных правовых актов. Недостаточный уровень квалификации  сотрудников в данной сфере.</w:t>
            </w:r>
          </w:p>
        </w:tc>
      </w:tr>
      <w:tr w:rsidR="009442A8" w:rsidTr="00DD0A60">
        <w:tc>
          <w:tcPr>
            <w:tcW w:w="15470" w:type="dxa"/>
            <w:gridSpan w:val="3"/>
          </w:tcPr>
          <w:p w:rsidR="009442A8" w:rsidRDefault="009442A8" w:rsidP="009442A8">
            <w:pPr>
              <w:pStyle w:val="20"/>
              <w:shd w:val="clear" w:color="auto" w:fill="auto"/>
              <w:tabs>
                <w:tab w:val="left" w:pos="302"/>
              </w:tabs>
              <w:spacing w:after="0" w:line="314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 xml:space="preserve">Нарушение антимонопольного законодательства в управлении сельского хозяйства </w:t>
            </w:r>
          </w:p>
        </w:tc>
      </w:tr>
      <w:tr w:rsidR="008426A1" w:rsidTr="00DB041F">
        <w:tc>
          <w:tcPr>
            <w:tcW w:w="5156" w:type="dxa"/>
          </w:tcPr>
          <w:p w:rsidR="008426A1" w:rsidRPr="008426A1" w:rsidRDefault="00AE4DEF" w:rsidP="008426A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Ограничение доступа к информации одним субъектам в сфере сельского хозяйства</w:t>
            </w:r>
            <w:r w:rsidR="00D73B8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 влекущие за собой создание дискриминационных условий по сравнению с другими субъектами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pStyle w:val="30"/>
              <w:shd w:val="clear" w:color="auto" w:fill="auto"/>
              <w:spacing w:before="0" w:after="0" w:line="260" w:lineRule="exact"/>
              <w:ind w:right="120"/>
              <w:rPr>
                <w:rStyle w:val="2PalatinoLinotype8pt0pt"/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Style w:val="2PalatinoLinotype8pt0pt"/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  <w:sz w:val="28"/>
                <w:szCs w:val="28"/>
              </w:rPr>
            </w:pPr>
            <w:r w:rsidRPr="008426A1">
              <w:rPr>
                <w:rStyle w:val="21"/>
                <w:sz w:val="28"/>
                <w:szCs w:val="28"/>
              </w:rPr>
              <w:t>ослабление контроля за своевременным предоставлением необходимой  и полной информацией</w:t>
            </w:r>
          </w:p>
          <w:p w:rsidR="008426A1" w:rsidRPr="008426A1" w:rsidRDefault="008426A1" w:rsidP="008426A1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after="0" w:line="314" w:lineRule="exact"/>
              <w:ind w:hanging="691"/>
              <w:jc w:val="left"/>
              <w:rPr>
                <w:rStyle w:val="21"/>
                <w:sz w:val="28"/>
                <w:szCs w:val="28"/>
              </w:rPr>
            </w:pPr>
            <w:r w:rsidRPr="008426A1">
              <w:rPr>
                <w:rStyle w:val="21"/>
                <w:sz w:val="28"/>
                <w:szCs w:val="28"/>
              </w:rPr>
              <w:t>Недобросовестное или небрежное отношение сотрудников  отдела к выполнению должностных обязанностей</w:t>
            </w:r>
          </w:p>
          <w:p w:rsidR="008426A1" w:rsidRPr="008426A1" w:rsidRDefault="008426A1" w:rsidP="008426A1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after="0" w:line="314" w:lineRule="exact"/>
              <w:jc w:val="left"/>
              <w:rPr>
                <w:rStyle w:val="21"/>
                <w:sz w:val="28"/>
                <w:szCs w:val="28"/>
              </w:rPr>
            </w:pPr>
            <w:r w:rsidRPr="008426A1">
              <w:rPr>
                <w:rStyle w:val="21"/>
                <w:sz w:val="28"/>
                <w:szCs w:val="28"/>
              </w:rPr>
              <w:t>Предоставление субъекту  в сфере сельского хозяйства доступа к информации в приоритетном порядке</w:t>
            </w:r>
          </w:p>
        </w:tc>
      </w:tr>
      <w:tr w:rsidR="008426A1" w:rsidTr="00160312">
        <w:tc>
          <w:tcPr>
            <w:tcW w:w="15470" w:type="dxa"/>
            <w:gridSpan w:val="3"/>
          </w:tcPr>
          <w:p w:rsidR="008426A1" w:rsidRPr="008426A1" w:rsidRDefault="008426A1" w:rsidP="008426A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В сфере осуществления полномочий по распоряжению муниципальным имуществом</w:t>
            </w:r>
          </w:p>
        </w:tc>
      </w:tr>
      <w:tr w:rsidR="008426A1" w:rsidTr="00DB041F">
        <w:tc>
          <w:tcPr>
            <w:tcW w:w="5156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заключение договоров аренды, ограничивающих конкуренцию;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нарушение порядка определения победителя торгов;</w:t>
            </w:r>
          </w:p>
          <w:p w:rsidR="008426A1" w:rsidRPr="008426A1" w:rsidRDefault="008426A1" w:rsidP="00D73B8B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</w:t>
            </w:r>
            <w:r w:rsidR="00D73B8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необоснованные</w:t>
            </w: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завышенн</w:t>
            </w:r>
            <w:r w:rsidR="00D73B8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ые </w:t>
            </w: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требования к участникам торгов, требования о предоставлении документов, не предусмотренных законодательством.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Существенный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нарушение единообразия, предоставление преимуществ отдельным хозяйствующим субъектам;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несоблюдение установленных процедур;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отсутствие разъяснений и правоприменительной практики</w:t>
            </w:r>
          </w:p>
        </w:tc>
      </w:tr>
      <w:tr w:rsidR="008426A1" w:rsidTr="00DB041F">
        <w:tc>
          <w:tcPr>
            <w:tcW w:w="5156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создание дискриминационных или преимущественных условий для отдельных категорий хозяйствующих субъектов при предоставлении земельных участков 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Существенный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нарушение единообразия, предоставление преимуществ отдельным хозяйствующим субъектам;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несоблюдение установленных процедур отсутствие разъяснений и правоприменительной практики</w:t>
            </w:r>
          </w:p>
        </w:tc>
      </w:tr>
      <w:tr w:rsidR="008426A1" w:rsidTr="00DB041F">
        <w:tc>
          <w:tcPr>
            <w:tcW w:w="5156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Существенный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нарушение единообразия, предоставление преимуществ отдельным хозяйствующим субъектам;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несоблюдение установленных процедур отсутствие разъяснений и правоприменительной практики</w:t>
            </w:r>
          </w:p>
        </w:tc>
      </w:tr>
      <w:tr w:rsidR="008426A1" w:rsidTr="00DB041F">
        <w:tc>
          <w:tcPr>
            <w:tcW w:w="5156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передача имущества без торгов, нарушение порядка проведения торгов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Существенный</w:t>
            </w:r>
          </w:p>
        </w:tc>
        <w:tc>
          <w:tcPr>
            <w:tcW w:w="5157" w:type="dxa"/>
          </w:tcPr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нарушение единообразия, предоставление преимуществ отдельным хозяйствующим субъектам;</w:t>
            </w:r>
          </w:p>
          <w:p w:rsidR="008426A1" w:rsidRPr="008426A1" w:rsidRDefault="008426A1" w:rsidP="008426A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несоблюдение установленных процедур отсутствие разъяснений и правоприменительной практики</w:t>
            </w:r>
          </w:p>
        </w:tc>
      </w:tr>
    </w:tbl>
    <w:p w:rsidR="00DB041F" w:rsidRDefault="00DB041F">
      <w:pPr>
        <w:pStyle w:val="30"/>
        <w:shd w:val="clear" w:color="auto" w:fill="auto"/>
        <w:spacing w:before="0" w:after="0" w:line="260" w:lineRule="exact"/>
        <w:ind w:right="120"/>
      </w:pPr>
    </w:p>
    <w:p w:rsidR="00DB041F" w:rsidRDefault="00DB041F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</w:p>
    <w:p w:rsidR="00025292" w:rsidRDefault="00025292">
      <w:pPr>
        <w:pStyle w:val="30"/>
        <w:shd w:val="clear" w:color="auto" w:fill="auto"/>
        <w:spacing w:before="0" w:after="0" w:line="260" w:lineRule="exact"/>
        <w:ind w:right="120"/>
      </w:pPr>
      <w:bookmarkStart w:id="0" w:name="_GoBack"/>
      <w:bookmarkEnd w:id="0"/>
    </w:p>
    <w:sectPr w:rsidR="00025292">
      <w:headerReference w:type="default" r:id="rId8"/>
      <w:pgSz w:w="16840" w:h="11900" w:orient="landscape"/>
      <w:pgMar w:top="1038" w:right="890" w:bottom="825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BDC" w:rsidRDefault="00900BDC">
      <w:r>
        <w:separator/>
      </w:r>
    </w:p>
  </w:endnote>
  <w:endnote w:type="continuationSeparator" w:id="0">
    <w:p w:rsidR="00900BDC" w:rsidRDefault="0090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BDC" w:rsidRDefault="00900BDC"/>
  </w:footnote>
  <w:footnote w:type="continuationSeparator" w:id="0">
    <w:p w:rsidR="00900BDC" w:rsidRDefault="00900B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0E" w:rsidRDefault="00900B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9pt;margin-top:40pt;width:4.3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650E" w:rsidRDefault="00A97B5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Impact13pt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0E" w:rsidRDefault="00900B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9.85pt;margin-top:44.7pt;width:3.5pt;height:6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650E" w:rsidRDefault="00A97B5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C41A1" w:rsidRPr="002C41A1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3E56"/>
    <w:multiLevelType w:val="hybridMultilevel"/>
    <w:tmpl w:val="ACD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7881"/>
    <w:multiLevelType w:val="hybridMultilevel"/>
    <w:tmpl w:val="0E2E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0247"/>
    <w:multiLevelType w:val="multilevel"/>
    <w:tmpl w:val="242AC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10B03"/>
    <w:multiLevelType w:val="multilevel"/>
    <w:tmpl w:val="566A9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3061C9"/>
    <w:multiLevelType w:val="multilevel"/>
    <w:tmpl w:val="36C8E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680DA8"/>
    <w:multiLevelType w:val="multilevel"/>
    <w:tmpl w:val="55F02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0210F"/>
    <w:multiLevelType w:val="multilevel"/>
    <w:tmpl w:val="FD684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056A7"/>
    <w:multiLevelType w:val="multilevel"/>
    <w:tmpl w:val="3AF41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C323D3"/>
    <w:multiLevelType w:val="multilevel"/>
    <w:tmpl w:val="36F49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281EC2"/>
    <w:multiLevelType w:val="multilevel"/>
    <w:tmpl w:val="4918A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856899"/>
    <w:multiLevelType w:val="multilevel"/>
    <w:tmpl w:val="14B26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FE6D19"/>
    <w:multiLevelType w:val="multilevel"/>
    <w:tmpl w:val="3ABA7D1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1552AC"/>
    <w:multiLevelType w:val="multilevel"/>
    <w:tmpl w:val="D4CE96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A30C4"/>
    <w:multiLevelType w:val="multilevel"/>
    <w:tmpl w:val="01241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650E"/>
    <w:rsid w:val="00025292"/>
    <w:rsid w:val="00052D38"/>
    <w:rsid w:val="0020741F"/>
    <w:rsid w:val="00224D24"/>
    <w:rsid w:val="002415F2"/>
    <w:rsid w:val="002A38A1"/>
    <w:rsid w:val="002C41A1"/>
    <w:rsid w:val="004416B8"/>
    <w:rsid w:val="005B3687"/>
    <w:rsid w:val="00661B86"/>
    <w:rsid w:val="008426A1"/>
    <w:rsid w:val="00854302"/>
    <w:rsid w:val="00900BDC"/>
    <w:rsid w:val="009442A8"/>
    <w:rsid w:val="009B0507"/>
    <w:rsid w:val="00A97B51"/>
    <w:rsid w:val="00AE4DEF"/>
    <w:rsid w:val="00B96528"/>
    <w:rsid w:val="00D2650E"/>
    <w:rsid w:val="00D73B8B"/>
    <w:rsid w:val="00DB041F"/>
    <w:rsid w:val="00E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BDF5F1"/>
  <w15:docId w15:val="{ED2C05FA-62E7-4D64-844D-7EADF9CE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Impact13pt">
    <w:name w:val="Колонтитул + Impact;13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alatinoLinotype8pt0pt">
    <w:name w:val="Основной текст (2) + Palatino Linotype;8 pt;Полужирный;Интервал 0 pt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39"/>
    <w:rsid w:val="00DB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26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26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Палухина</cp:lastModifiedBy>
  <cp:revision>9</cp:revision>
  <cp:lastPrinted>2020-02-03T07:16:00Z</cp:lastPrinted>
  <dcterms:created xsi:type="dcterms:W3CDTF">2020-01-20T10:17:00Z</dcterms:created>
  <dcterms:modified xsi:type="dcterms:W3CDTF">2020-02-20T06:41:00Z</dcterms:modified>
</cp:coreProperties>
</file>