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285" w:rsidRPr="00D35285" w:rsidRDefault="00D35285" w:rsidP="00D35285">
      <w:pPr>
        <w:shd w:val="clear" w:color="auto" w:fill="E5E2DF"/>
        <w:spacing w:after="300" w:line="360" w:lineRule="atLeast"/>
        <w:outlineLvl w:val="2"/>
        <w:rPr>
          <w:rFonts w:ascii="Helvetica" w:eastAsia="Times New Roman" w:hAnsi="Helvetica" w:cs="Helvetica"/>
          <w:caps/>
          <w:color w:val="ED5338"/>
          <w:sz w:val="38"/>
          <w:szCs w:val="38"/>
          <w:lang w:eastAsia="ru-RU"/>
        </w:rPr>
      </w:pPr>
      <w:r w:rsidRPr="00D35285">
        <w:rPr>
          <w:rFonts w:ascii="Helvetica" w:eastAsia="Times New Roman" w:hAnsi="Helvetica" w:cs="Helvetica"/>
          <w:caps/>
          <w:color w:val="ED5338"/>
          <w:sz w:val="38"/>
          <w:szCs w:val="38"/>
          <w:lang w:eastAsia="ru-RU"/>
        </w:rPr>
        <w:t>КАКИЕ ПЛАТЕЖИ ЗАМЕНЯЕТ НАЛОГ НА ПРОФЕССИОНАЛЬНЫЙ ДОХОД</w:t>
      </w:r>
    </w:p>
    <w:p w:rsidR="00D35285" w:rsidRPr="00D35285" w:rsidRDefault="00D35285" w:rsidP="00D35285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D35285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Особенности применения специального налогового режима:</w:t>
      </w:r>
    </w:p>
    <w:p w:rsidR="00D35285" w:rsidRPr="00D35285" w:rsidRDefault="00D35285" w:rsidP="00D35285">
      <w:pPr>
        <w:numPr>
          <w:ilvl w:val="0"/>
          <w:numId w:val="1"/>
        </w:num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D35285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Физические лица не уплачивают налог на доходы физических лиц с тех доходов, которые облагаются налогом на профессиональный доход.</w:t>
      </w:r>
    </w:p>
    <w:p w:rsidR="00D35285" w:rsidRPr="00D35285" w:rsidRDefault="00D35285" w:rsidP="00D35285">
      <w:pPr>
        <w:numPr>
          <w:ilvl w:val="0"/>
          <w:numId w:val="1"/>
        </w:num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D35285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Индивидуальные предприниматели не уплачивают:</w:t>
      </w:r>
    </w:p>
    <w:p w:rsidR="00D35285" w:rsidRPr="00D35285" w:rsidRDefault="00D35285" w:rsidP="00D35285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D35285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-налог на доходы физических лиц с тех доходов, которые облагаются налогом на профессиональный доход;</w:t>
      </w:r>
    </w:p>
    <w:p w:rsidR="00D35285" w:rsidRPr="00D35285" w:rsidRDefault="00D35285" w:rsidP="00D35285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D35285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-налог на добавленную стоимость, за исключением НДС при ввозе товаров на территорию России;</w:t>
      </w:r>
    </w:p>
    <w:p w:rsidR="00D35285" w:rsidRPr="00D35285" w:rsidRDefault="00D35285" w:rsidP="00D35285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D35285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-фиксированные страховые взносы.</w:t>
      </w:r>
    </w:p>
    <w:p w:rsidR="00D35285" w:rsidRPr="00D35285" w:rsidRDefault="00D35285" w:rsidP="00D35285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D35285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Индивидуальные предприниматели, которые зарегистрировались в качестве налогоплательщиков налога на профессиональный доход, не уплачивают фиксированные страховые взносы. На других специальных налоговых режимах страховые взносы нужно платить даже при отсутствии дохода.</w:t>
      </w:r>
    </w:p>
    <w:p w:rsidR="00D35285" w:rsidRPr="00D35285" w:rsidRDefault="00D35285" w:rsidP="00D35285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D35285">
        <w:rPr>
          <w:rFonts w:ascii="Arial" w:eastAsia="Times New Roman" w:hAnsi="Arial" w:cs="Arial"/>
          <w:color w:val="282A30"/>
          <w:sz w:val="23"/>
          <w:szCs w:val="23"/>
          <w:lang w:eastAsia="ru-RU"/>
        </w:rPr>
        <w:t xml:space="preserve">При отсутствии дохода в течение налогового периода нет никаких обязательных, минимальных или фиксированных платежей. При этом </w:t>
      </w:r>
      <w:proofErr w:type="spellStart"/>
      <w:r w:rsidRPr="00D35285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самозанятые</w:t>
      </w:r>
      <w:proofErr w:type="spellEnd"/>
      <w:r w:rsidRPr="00D35285">
        <w:rPr>
          <w:rFonts w:ascii="Arial" w:eastAsia="Times New Roman" w:hAnsi="Arial" w:cs="Arial"/>
          <w:color w:val="282A30"/>
          <w:sz w:val="23"/>
          <w:szCs w:val="23"/>
          <w:lang w:eastAsia="ru-RU"/>
        </w:rPr>
        <w:t xml:space="preserve"> являются участниками системы обязательного медицинского страхования и могут получать бесплатную медицинскую помощь.</w:t>
      </w:r>
    </w:p>
    <w:p w:rsidR="00BA2A79" w:rsidRDefault="00BA2A79">
      <w:bookmarkStart w:id="0" w:name="_GoBack"/>
      <w:bookmarkEnd w:id="0"/>
    </w:p>
    <w:sectPr w:rsidR="00BA2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C407A"/>
    <w:multiLevelType w:val="multilevel"/>
    <w:tmpl w:val="ABCC2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96"/>
    <w:rsid w:val="00BA2A79"/>
    <w:rsid w:val="00D35285"/>
    <w:rsid w:val="00F1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1F519-F432-4047-8DBA-E72E1819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7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2020-07-23T12:42:00Z</dcterms:created>
  <dcterms:modified xsi:type="dcterms:W3CDTF">2020-07-23T12:43:00Z</dcterms:modified>
</cp:coreProperties>
</file>