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FB740" w14:textId="77777777" w:rsidR="00F74B2D" w:rsidRPr="00F74B2D" w:rsidRDefault="00F74B2D" w:rsidP="00F74B2D">
      <w:pPr>
        <w:ind w:firstLine="709"/>
        <w:jc w:val="center"/>
        <w:rPr>
          <w:sz w:val="28"/>
          <w:szCs w:val="28"/>
        </w:rPr>
      </w:pPr>
      <w:bookmarkStart w:id="0" w:name="_GoBack"/>
      <w:bookmarkEnd w:id="0"/>
    </w:p>
    <w:p w14:paraId="6ED5C007"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Вводится уголовная ответственность за нарушение требований к антитеррористической защищенности объектов</w:t>
      </w:r>
    </w:p>
    <w:p w14:paraId="1934CC13" w14:textId="77777777" w:rsidR="00F74B2D" w:rsidRPr="00F74B2D" w:rsidRDefault="00F74B2D" w:rsidP="00F74B2D">
      <w:pPr>
        <w:ind w:firstLine="709"/>
        <w:jc w:val="center"/>
        <w:rPr>
          <w:sz w:val="28"/>
          <w:szCs w:val="28"/>
        </w:rPr>
      </w:pPr>
    </w:p>
    <w:p w14:paraId="1985AE6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Федеральным законом от 31.07.2023 № 398-ФЗ с 1 июля 2024 года вводится уголовная ответственность за нарушение требований к антитеррористической защищенности объектов (территорий), предусмотренная статьей 217.3 Уголовного кодекса РФ.</w:t>
      </w:r>
    </w:p>
    <w:p w14:paraId="387F589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Наказание последует за нарушение требований лицом, ранее неоднократно привлеченным к административной ответственности за аналогичное </w:t>
      </w:r>
      <w:proofErr w:type="gramStart"/>
      <w:r w:rsidRPr="00F74B2D">
        <w:rPr>
          <w:rFonts w:eastAsia="Liberation Sans"/>
          <w:color w:val="333333"/>
          <w:sz w:val="28"/>
          <w:szCs w:val="28"/>
        </w:rPr>
        <w:t>деяние, в случае, если</w:t>
      </w:r>
      <w:proofErr w:type="gramEnd"/>
      <w:r w:rsidRPr="00F74B2D">
        <w:rPr>
          <w:rFonts w:eastAsia="Liberation Sans"/>
          <w:color w:val="333333"/>
          <w:sz w:val="28"/>
          <w:szCs w:val="28"/>
        </w:rPr>
        <w:t xml:space="preserve"> его действия (бездействие) повлекли по неосторожности тяжкий вред здоровью или смерть, либо причинило ущерб на сумму более 1 миллиона рублей.</w:t>
      </w:r>
    </w:p>
    <w:p w14:paraId="0875754A"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 предусмотренных статьей 20.35 Кодекса Российской Федерации об административных правонарушениях, два и более раза в течение 180 дней.</w:t>
      </w:r>
    </w:p>
    <w:p w14:paraId="1D215DB8"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Меры наказания в зависимости от тяжести содеянного могут применяться в виде штрафа, либо ограничения свободы на срок до трех лет, либо лишения свободы на срок до семи лет. Одновременно виновное лицо может быть лишено судом права занимать определенные должности или заниматься определенной деятельностью на срок до трех лет.</w:t>
      </w:r>
    </w:p>
    <w:p w14:paraId="24151A69"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Новый уголовный состав не касается нарушений на объектах топливно-энергетического комплекса и транспорта, за которые ответственность предусмотрена статьями 217.1 и 263.1 Уголовного кодекса РФ соответственно.</w:t>
      </w:r>
    </w:p>
    <w:p w14:paraId="58A2FB52"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Следует учитывать, что конкретные требования к антитеррористической защищенности объектов (территорий) устанавливаются уполномоченными органами в соответствии с Правилами, утвержденными постановлением Правительства Российской Федерации от 25.12.2013 № 1244 «Об антитеррористической защищенности объектов (территорий)». Они дифференцируются в зависимости от характера деятельности или принадлежности таких объектов.</w:t>
      </w:r>
    </w:p>
    <w:p w14:paraId="7F905612"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Так, например, с 12.03.2024 в действие вступили требования к антитеррористической защищенности объектов (территорий) промышленности, находящихся в ведении или относящихся к сфере деятельности Минпромторга России, и актуализированная форма паспорта безопасности этих объектов (территорий). Они утверждены постановлением Правительства Российской Федерации от 01.03.2024 № 258.</w:t>
      </w:r>
    </w:p>
    <w:p w14:paraId="5F42F636" w14:textId="77777777" w:rsidR="00F74B2D" w:rsidRPr="00F74B2D" w:rsidRDefault="00F74B2D" w:rsidP="00F74B2D">
      <w:pPr>
        <w:ind w:firstLine="709"/>
        <w:jc w:val="center"/>
        <w:rPr>
          <w:sz w:val="28"/>
          <w:szCs w:val="28"/>
        </w:rPr>
      </w:pPr>
    </w:p>
    <w:p w14:paraId="26EC5142" w14:textId="77777777" w:rsidR="00F74B2D" w:rsidRPr="00F74B2D" w:rsidRDefault="00F74B2D" w:rsidP="00F74B2D">
      <w:pPr>
        <w:ind w:firstLine="709"/>
        <w:jc w:val="center"/>
        <w:rPr>
          <w:sz w:val="28"/>
          <w:szCs w:val="28"/>
        </w:rPr>
      </w:pPr>
    </w:p>
    <w:p w14:paraId="52F60A12"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С 01 сентября 2024 года изменится порядок создания и ведения государственного реестра объектов, оказывающих негативное воздействие на окружающую среду</w:t>
      </w:r>
    </w:p>
    <w:p w14:paraId="43ED3E1D" w14:textId="77777777" w:rsidR="00F74B2D" w:rsidRPr="00F74B2D" w:rsidRDefault="00F74B2D" w:rsidP="00F74B2D">
      <w:pPr>
        <w:ind w:firstLine="709"/>
        <w:jc w:val="center"/>
        <w:rPr>
          <w:sz w:val="28"/>
          <w:szCs w:val="28"/>
        </w:rPr>
      </w:pPr>
    </w:p>
    <w:p w14:paraId="7F74B5C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Статьей 69.2 Федерального закона от 10.01.2002 № 7-ФЗ «Об охране окружающей среды» установлена обязанность для юридических лиц и индивидуальных предпринимателей по постановке на государственный учет объектов, оказывающих негативное воздействие на окружающую среду.</w:t>
      </w:r>
    </w:p>
    <w:p w14:paraId="3B6D7113"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настоящее время в реестре объектов НВОС содержатся данные об объектах, оказывающих негативное воздействие на окружающую среду, относящихся к I, II, III и IV категориям. По состоянию на май 2024 года на территории Московской области эксплуатируются 10 919 объектов НВОС, из них 158 - I категории, 3 142 -  II, 5 491 - III, 2 128 - IV, о чем в реестр внесены соответствующие сведения.</w:t>
      </w:r>
    </w:p>
    <w:p w14:paraId="7097B626"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На основании постановления Правительства Российской Федерации от 15.04.2024 №473 в Правила создания и ведения государственного реестра объектов, оказывающих негативное воздействие на окружающую среду, внесены изменения, согласно которым с 01.09.2024 объекты НВОС IV категории постановке на соответствующий учет и внесению в реестр не подлежат в связи с их незначительной нагрузкой на окружающую среду.</w:t>
      </w:r>
    </w:p>
    <w:p w14:paraId="0733BE4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На территориальные органы Федеральной службы по надзору в сфере природопользования, исполнительные органы субъекта Российской Федерации в соответствии с их компетенцией возложена обязанность по корректировке и последующему исключению сведений об объектах указанной категории из реестра объектов НВОС.</w:t>
      </w:r>
    </w:p>
    <w:p w14:paraId="67166D32" w14:textId="77777777" w:rsidR="00F74B2D" w:rsidRPr="00F74B2D" w:rsidRDefault="00F74B2D" w:rsidP="00F74B2D">
      <w:pPr>
        <w:ind w:firstLine="709"/>
        <w:jc w:val="center"/>
        <w:rPr>
          <w:sz w:val="28"/>
          <w:szCs w:val="28"/>
        </w:rPr>
      </w:pPr>
    </w:p>
    <w:p w14:paraId="62681019" w14:textId="77777777" w:rsidR="00F74B2D" w:rsidRPr="00F74B2D" w:rsidRDefault="00F74B2D" w:rsidP="00F74B2D">
      <w:pPr>
        <w:ind w:firstLine="709"/>
        <w:jc w:val="center"/>
        <w:rPr>
          <w:sz w:val="28"/>
          <w:szCs w:val="28"/>
        </w:rPr>
      </w:pPr>
    </w:p>
    <w:p w14:paraId="4D3E6F5D"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Трудовые гарантии участникам СВО</w:t>
      </w:r>
    </w:p>
    <w:p w14:paraId="6F432C48" w14:textId="77777777" w:rsidR="00F74B2D" w:rsidRPr="00F74B2D" w:rsidRDefault="00F74B2D" w:rsidP="00F74B2D">
      <w:pPr>
        <w:ind w:firstLine="709"/>
        <w:jc w:val="center"/>
        <w:rPr>
          <w:sz w:val="28"/>
          <w:szCs w:val="28"/>
        </w:rPr>
      </w:pPr>
    </w:p>
    <w:p w14:paraId="7F06BCC4"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соответствии со ст. 351.7 ТК РФ в случае призыва работника на военную службу по мобилизации или заключения им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14:paraId="408499B9"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Работодатель на основании заявления работника издает приказ о приостановлении действия трудового договора. К заявлению работнику необходимо приложить копию повестки о призыве на военную службу по мобилизации или уведомление федерального органа исполнительной власти о заключении с работником контракта о добровольном содействии в выполнении задач, возложенных на Вооруженные Силы Российской.</w:t>
      </w:r>
    </w:p>
    <w:p w14:paraId="3A0A250D"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период приостановления действия трудового договора за работником сохраняется место работы (должность),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323C2B35"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Период приостановления действия трудового договора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49524EAB"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Действие трудового договора возобновляется в день выхода работника на работу. Работник обязан предупредить о своем выходе на работу не позднее чем за 3 рабочих дня. При отсутствии оснований для прекращения срочного трудового договора, предусмотренных ч. 11 ст. 351.7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14:paraId="75A0DBB9"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Работник в течение 6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371A2DBC"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025963EF"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случае, если работник не вышел на работу по истечении 3 месяцев после окончания прохождения им военной службы по мобилизации или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осуществляется по инициативе работодателя в соответствии с п. 13.1 ч. 1 статьи 81 ТК РФ.</w:t>
      </w:r>
    </w:p>
    <w:p w14:paraId="3A5B8B1C"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Лицо, с которым в период приостановления действия трудового договора расторгнут трудовой договор в связи с истечением срока его действия, в течение 3 месяцев после окончания прохождения указанным лицом военной службы по мобилизации или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w:t>
      </w:r>
    </w:p>
    <w:p w14:paraId="64F48F5B" w14:textId="77777777" w:rsidR="00F74B2D" w:rsidRPr="00F74B2D" w:rsidRDefault="00F74B2D" w:rsidP="00F74B2D">
      <w:pPr>
        <w:ind w:firstLine="709"/>
        <w:jc w:val="center"/>
        <w:rPr>
          <w:sz w:val="28"/>
          <w:szCs w:val="28"/>
        </w:rPr>
      </w:pPr>
    </w:p>
    <w:p w14:paraId="152C9344" w14:textId="77777777" w:rsidR="00F74B2D" w:rsidRPr="00F74B2D" w:rsidRDefault="00F74B2D" w:rsidP="00F74B2D">
      <w:pPr>
        <w:ind w:firstLine="709"/>
        <w:jc w:val="center"/>
        <w:rPr>
          <w:sz w:val="28"/>
          <w:szCs w:val="28"/>
        </w:rPr>
      </w:pPr>
    </w:p>
    <w:p w14:paraId="6A1A5F2F"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Административная ответственность за нарушение срока и порядка оплаты товаров, работ, услуг при осуществлении закупок для обеспечения государственных и муниципальных нужд</w:t>
      </w:r>
    </w:p>
    <w:p w14:paraId="10C272DB" w14:textId="77777777" w:rsidR="00F74B2D" w:rsidRPr="00F74B2D" w:rsidRDefault="00F74B2D" w:rsidP="00F74B2D">
      <w:pPr>
        <w:ind w:firstLine="709"/>
        <w:jc w:val="center"/>
        <w:rPr>
          <w:sz w:val="28"/>
          <w:szCs w:val="28"/>
        </w:rPr>
      </w:pPr>
    </w:p>
    <w:p w14:paraId="0EBCFACD"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Закупкой товара, работы либо услуги для обеспечения государственных или муниципальных нужд является совокупность действий, направленных на обеспечение государственных или муниципальных нужд за счет средств государственного бюджета с целью эффективного их использования.</w:t>
      </w:r>
    </w:p>
    <w:p w14:paraId="02EE49A4"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торгах на закупку товара, работы, услуги принимают участие потенциальные поставщики и подрядчики, которые подают соответствующие заявки. По итогам торгов с победителем заключается контракт, в котором обязательно должны содержаться сведения о сроках оплаты работ и порядок их проведения.</w:t>
      </w:r>
    </w:p>
    <w:p w14:paraId="0A8BD0C7"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Оплата заказчиком контракта может осуществляться как в полном единовременном перечислении средств, так и в поэтапной оплате по мере исполнения контракта либо авансировании. Срок оплаты по контракту составляет от 7 рабочих до 30 календарных дней и зависит от разных условий (если расчеты по контракту или аванс по нему подлежат казначейскому сопровождению, стороны заключили контракт по обеспечению обороны и безопасности государства и другое).</w:t>
      </w:r>
    </w:p>
    <w:p w14:paraId="30D51E9D"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За нарушение должностным лицом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предусмотрена административная ответственность по статье 7.32.5 Кодекса Российской Федерации об административных правонарушениях. Наказанием за данное правонарушение является штраф в размере от 30 тыс. до 50 тыс. рублей.</w:t>
      </w:r>
    </w:p>
    <w:p w14:paraId="7B043FF8"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Если должностное лицо ранее привлекалось к административной ответственности за аналогичное правонарушение, ему грозит дисквалификация на срок от одного года до двух лет.</w:t>
      </w:r>
    </w:p>
    <w:p w14:paraId="6D1700F8"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О приеме на работу при отсутствии документов воинского учета</w:t>
      </w:r>
    </w:p>
    <w:p w14:paraId="268D13AB"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Согласно ст. 65 Трудового кодекса РФ при заключении трудового договора военнообязанные и лица, подлежащие призыву на военную службу, поступающие на работу, предъявляют работодателю, наряду с другими документами, документы воинского учета (военный билет, справка взамен военного билета, удостоверение гражданина, подлежащего призыву на военную службу, в том числе в форме электронного документа).</w:t>
      </w:r>
    </w:p>
    <w:p w14:paraId="0D385E6A"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Отсутствие у лица, поступающего на работу, документов воинского учета не указано в трудовом законодательстве в качестве обстоятельства, исключающего возможность его трудоустройства, а также их отсутствие не связано с его деловыми качествами.</w:t>
      </w:r>
    </w:p>
    <w:p w14:paraId="468AD37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целях обеспечения постановки граждан на воинский учет по месту работы работники, осуществляющие воинский учет в организациях, в частности (</w:t>
      </w:r>
      <w:proofErr w:type="spellStart"/>
      <w:r w:rsidRPr="00F74B2D">
        <w:rPr>
          <w:rFonts w:eastAsia="Liberation Sans"/>
          <w:color w:val="333333"/>
          <w:sz w:val="28"/>
          <w:szCs w:val="28"/>
        </w:rPr>
        <w:t>пп</w:t>
      </w:r>
      <w:proofErr w:type="spellEnd"/>
      <w:r w:rsidRPr="00F74B2D">
        <w:rPr>
          <w:rFonts w:eastAsia="Liberation Sans"/>
          <w:color w:val="333333"/>
          <w:sz w:val="28"/>
          <w:szCs w:val="28"/>
        </w:rPr>
        <w:t>. «а», «г», «д» п. 30 постановления Правительства Российской Федерации от 27.11.2006 №719 «Об утверждении Положения о воинском учете»):</w:t>
      </w:r>
    </w:p>
    <w:p w14:paraId="56DE3BBD" w14:textId="77777777" w:rsidR="00F74B2D" w:rsidRPr="00F74B2D" w:rsidRDefault="00F74B2D" w:rsidP="00F74B2D">
      <w:pPr>
        <w:pStyle w:val="a3"/>
        <w:numPr>
          <w:ilvl w:val="0"/>
          <w:numId w:val="1"/>
        </w:numPr>
        <w:pBdr>
          <w:top w:val="none" w:sz="4" w:space="0" w:color="000000"/>
          <w:left w:val="none" w:sz="4" w:space="0" w:color="000000"/>
          <w:bottom w:val="none" w:sz="4" w:space="0" w:color="000000"/>
          <w:right w:val="none" w:sz="4" w:space="0" w:color="000000"/>
        </w:pBdr>
        <w:ind w:left="0" w:firstLine="709"/>
        <w:jc w:val="both"/>
        <w:rPr>
          <w:sz w:val="28"/>
          <w:szCs w:val="28"/>
        </w:rPr>
      </w:pPr>
      <w:r w:rsidRPr="00F74B2D">
        <w:rPr>
          <w:rFonts w:eastAsia="Liberation Sans"/>
          <w:color w:val="333333"/>
          <w:sz w:val="28"/>
          <w:szCs w:val="28"/>
        </w:rPr>
        <w:t xml:space="preserve">проверяют у граждан, принимаемых на работу,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в том числе в форме электронного документа, а также </w:t>
      </w:r>
      <w:r w:rsidRPr="00F74B2D">
        <w:rPr>
          <w:rFonts w:eastAsia="Liberation Sans"/>
          <w:color w:val="333333"/>
          <w:sz w:val="28"/>
          <w:szCs w:val="28"/>
        </w:rPr>
        <w:lastRenderedPageBreak/>
        <w:t>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о постановке на воинский учет по месту жительства или месту пребывания, наличие отметок в паспортах граждан Российской Федерации об их отношении к воинской обязанности, жетонов с личными номерами ВС РФ (для военнообязанных при наличии в военном билете отметки об их вручении);</w:t>
      </w:r>
    </w:p>
    <w:p w14:paraId="26A6A983" w14:textId="77777777" w:rsidR="00F74B2D" w:rsidRPr="00F74B2D" w:rsidRDefault="00F74B2D" w:rsidP="00F74B2D">
      <w:pPr>
        <w:pStyle w:val="a3"/>
        <w:numPr>
          <w:ilvl w:val="0"/>
          <w:numId w:val="2"/>
        </w:numPr>
        <w:pBdr>
          <w:top w:val="none" w:sz="4" w:space="0" w:color="000000"/>
          <w:left w:val="none" w:sz="4" w:space="0" w:color="000000"/>
          <w:bottom w:val="none" w:sz="4" w:space="0" w:color="000000"/>
          <w:right w:val="none" w:sz="4" w:space="0" w:color="000000"/>
        </w:pBdr>
        <w:ind w:left="0" w:firstLine="709"/>
        <w:jc w:val="both"/>
        <w:rPr>
          <w:sz w:val="28"/>
          <w:szCs w:val="28"/>
        </w:rPr>
      </w:pPr>
      <w:r w:rsidRPr="00F74B2D">
        <w:rPr>
          <w:rFonts w:eastAsia="Liberation Sans"/>
          <w:color w:val="333333"/>
          <w:sz w:val="28"/>
          <w:szCs w:val="28"/>
        </w:rPr>
        <w:t>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в течение 5 рабочих дней со дня их выявления;</w:t>
      </w:r>
    </w:p>
    <w:p w14:paraId="62C1D6FC" w14:textId="77777777" w:rsidR="00F74B2D" w:rsidRPr="00F74B2D" w:rsidRDefault="00F74B2D" w:rsidP="00F74B2D">
      <w:pPr>
        <w:pStyle w:val="a3"/>
        <w:numPr>
          <w:ilvl w:val="0"/>
          <w:numId w:val="3"/>
        </w:numPr>
        <w:pBdr>
          <w:top w:val="none" w:sz="4" w:space="0" w:color="000000"/>
          <w:left w:val="none" w:sz="4" w:space="0" w:color="000000"/>
          <w:bottom w:val="none" w:sz="4" w:space="0" w:color="000000"/>
          <w:right w:val="none" w:sz="4" w:space="0" w:color="000000"/>
        </w:pBdr>
        <w:ind w:left="0" w:firstLine="709"/>
        <w:jc w:val="both"/>
        <w:rPr>
          <w:sz w:val="28"/>
          <w:szCs w:val="28"/>
        </w:rPr>
      </w:pPr>
      <w:r w:rsidRPr="00F74B2D">
        <w:rPr>
          <w:rFonts w:eastAsia="Liberation Sans"/>
          <w:color w:val="333333"/>
          <w:sz w:val="28"/>
          <w:szCs w:val="28"/>
        </w:rPr>
        <w:t>выдают гражданам, подлежащим воинскому учету и не имеющим регистрации по месту жительства и месту пребывания, а также гражданам, прибывшим на место пребывания на срок более трех месяцев и не имеющим регистрации по месту пребывания, при принятии их на работу или увольнении сведения для постановки на воинский учет по месту пребывания в военных комиссариатах или органах местного самоуправления.</w:t>
      </w:r>
    </w:p>
    <w:p w14:paraId="41617DE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Согласно Федерального закона Российской Федерации «О воинской обязанности и военной службе» руководители, другие ответственные за военно-учетную работу должностные лица (работники) организаций обязаны направлять сведения о принятых на работу граждан, состоящих на воинском учете, а также не состоящих, но обязанных состоять в военные комиссариаты в течение 5 дней со дня изменения соответствующих сведений, а сведения о случаях выявления граждан, не состоящих на воинском учете, но обязанных состоять, - в течение 3 рабочих дней, в том числе с использованием «Единого портала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w:t>
      </w:r>
    </w:p>
    <w:p w14:paraId="5428DB04"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За несообщение или несвоевременное предоставление должностными лицами организаций в установленном законом порядке сведений, необходимых для ведения воинского учета, предусмотрена административная ответственность по ст. 21.4 КоАП РФ в виде административного штрафа в размере от 40 до 50 тыс. руб. Неисполнение гражданами обязанностей по воинскому учету, в том числе не сообщение в военный комиссариат или орган, осуществляющий первичный воинский учет о месте работы или должности также предусмотрена административная ответственность по ст. 21.5 КоАП РФ.</w:t>
      </w:r>
    </w:p>
    <w:p w14:paraId="3E671433" w14:textId="77777777" w:rsidR="00F74B2D" w:rsidRPr="00F74B2D" w:rsidRDefault="00F74B2D" w:rsidP="00F74B2D">
      <w:pPr>
        <w:ind w:firstLine="709"/>
        <w:jc w:val="center"/>
        <w:rPr>
          <w:sz w:val="28"/>
          <w:szCs w:val="28"/>
        </w:rPr>
      </w:pPr>
    </w:p>
    <w:p w14:paraId="137ECA03" w14:textId="77777777" w:rsidR="00F74B2D" w:rsidRPr="00F74B2D" w:rsidRDefault="00F74B2D" w:rsidP="00F74B2D">
      <w:pPr>
        <w:ind w:firstLine="709"/>
        <w:jc w:val="center"/>
        <w:rPr>
          <w:sz w:val="28"/>
          <w:szCs w:val="28"/>
        </w:rPr>
      </w:pPr>
    </w:p>
    <w:p w14:paraId="021894A2"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О конфискации имущества</w:t>
      </w:r>
    </w:p>
    <w:p w14:paraId="040ABF88" w14:textId="77777777" w:rsidR="00F74B2D" w:rsidRPr="00F74B2D" w:rsidRDefault="00F74B2D" w:rsidP="00F74B2D">
      <w:pPr>
        <w:ind w:firstLine="709"/>
        <w:jc w:val="center"/>
        <w:rPr>
          <w:sz w:val="28"/>
          <w:szCs w:val="28"/>
        </w:rPr>
      </w:pPr>
    </w:p>
    <w:p w14:paraId="2B626C1F"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В соответствии со ст. 104.1 Уголовного кодекса РФ конфискация имущества – это принудительное безвозмездное изъятие и обращение в собственность государства. Поскольку конфискация имущества связана с ограничением </w:t>
      </w:r>
      <w:r w:rsidRPr="00F74B2D">
        <w:rPr>
          <w:rFonts w:eastAsia="Liberation Sans"/>
          <w:color w:val="333333"/>
          <w:sz w:val="28"/>
          <w:szCs w:val="28"/>
        </w:rPr>
        <w:lastRenderedPageBreak/>
        <w:t>конституционного права граждан на частную собственность, она может осуществляться только судом и в точном соответствии с положениями Конституции РФ, требованиями уголовного и уголовно-процессуального законодательства.</w:t>
      </w:r>
    </w:p>
    <w:p w14:paraId="79DAB61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На основании п. «а», «б» ч. 1 ст. 104.1 УК РФ конфискации подлежат деньги, ценности и иное имущество, а также Доходы от него, полученные в результате совершения ряда преступлений, или явились предметом незаконного перемещения через таможенную границу либо через Государственную границу РФ. Доходами от денег, ценностей и иного имущества, могут быть признаны, в частности, суммы, полученные в кредитных организациях в виде процентов по счетам за использование таких денежных средств, арендная или иная плата, полученная за передачу имущества в возмездное пользование другим лицам, плата за оказание услуг с использованием такого имущества.</w:t>
      </w:r>
    </w:p>
    <w:p w14:paraId="5687B2C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Также в собственность государства обращаются деньги, ценности и иное имущество, в которые имущество, полученное в результате совершения преступления и доходы от этого имущества, были частично или полностью преобразованы. Например, конфискации подлежат новые объекты собственности, возникшие в результате реконструкции недвижимого имущества, приобретенного преступным путем.</w:t>
      </w:r>
    </w:p>
    <w:p w14:paraId="2EE37E66"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Согласно пункту «в» ч. 1 ст. 104.1 УК РФ подлежат конфискации деньги, ценности и иное имущество, используемые для финансирования терроризма, экстремистской деятельности, организованной группы, незаконного вооруженного формирования, преступного сообщества (преступной организации) либо предназначенные для этих целей.</w:t>
      </w:r>
    </w:p>
    <w:p w14:paraId="6874E8AB"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Принадлежащие обвиняемому орудия, оборудование или иные средства совершения преступления подлежат конфискации судом (при отсутствии оснований для их передачи в соответствующие учреждения или уничтожения) по делам о преступлениях, перечень которых законом не ограничен. К средствам совершения преступления также могут быть отнесены персональные компьютеры, ноутбуки, планшеты, мобильные телефоны и смартфоны.</w:t>
      </w:r>
    </w:p>
    <w:p w14:paraId="680ECB4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Кроме этого, подлежит конфискации транспортное средство, которое принадлежит обвиняемому и использовано им при совершении преступления, связанным с нарушением правил дорожного движения, с управлением транспортным средством в состоянии опьянения ранее подвергнутым административному наказанию (имеющим судимость), а также лишенным права управления транспортными средствами.</w:t>
      </w:r>
    </w:p>
    <w:p w14:paraId="1A983C0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Вместе с тем, разъясняется, что принадлежащим обвиняемому следует считать имущество, находящееся в его собственности, а также в общей собственности обвиняемого и других лиц, в том числе в совместной собственности супругов.</w:t>
      </w:r>
    </w:p>
    <w:p w14:paraId="5D42BF77" w14:textId="77777777" w:rsidR="00F74B2D" w:rsidRPr="00F74B2D" w:rsidRDefault="00F74B2D" w:rsidP="00F74B2D">
      <w:pPr>
        <w:ind w:firstLine="709"/>
        <w:jc w:val="center"/>
        <w:rPr>
          <w:sz w:val="28"/>
          <w:szCs w:val="28"/>
        </w:rPr>
      </w:pPr>
    </w:p>
    <w:p w14:paraId="64B80E8C" w14:textId="77777777" w:rsidR="00F74B2D" w:rsidRPr="00F74B2D" w:rsidRDefault="00F74B2D" w:rsidP="00F74B2D">
      <w:pPr>
        <w:ind w:firstLine="709"/>
        <w:jc w:val="center"/>
        <w:rPr>
          <w:sz w:val="28"/>
          <w:szCs w:val="28"/>
        </w:rPr>
      </w:pPr>
    </w:p>
    <w:p w14:paraId="0412F44B"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Дополнительный перечень лиц, освобожденных от уплаты государственной пошлины</w:t>
      </w:r>
    </w:p>
    <w:p w14:paraId="66329625" w14:textId="77777777" w:rsidR="00F74B2D" w:rsidRPr="00F74B2D" w:rsidRDefault="00F74B2D" w:rsidP="00F74B2D">
      <w:pPr>
        <w:ind w:firstLine="709"/>
        <w:jc w:val="center"/>
        <w:rPr>
          <w:sz w:val="28"/>
          <w:szCs w:val="28"/>
        </w:rPr>
      </w:pPr>
    </w:p>
    <w:p w14:paraId="3DB6EC6C"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Федеральным законом от 22.04.2024 № 88-ФЗ внесены изменения в статьи 333.35 и 333.38 части второй Налогового кодекса РФ.</w:t>
      </w:r>
    </w:p>
    <w:p w14:paraId="2D98C30D"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Данными поправками предусмотрено освобождение от уплаты государственной пошлины за выдачу паспорта гражданина Российской Федерации, национального водительского удостоверения взамен утраченного или пришедшего в негодность, ряда лиц, принимающих участие в СВО, обеспечивающих выполнение задач в ходе СВО на территориях Украины, ДНР, ЛНР, Запорожской, Херсонской областей, в том числе:</w:t>
      </w:r>
    </w:p>
    <w:p w14:paraId="587F9F1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военнослужащих, включая мобилизованных и лиц, заключивших контракт о прохождении военной службы;</w:t>
      </w:r>
    </w:p>
    <w:p w14:paraId="330624BF"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 лицам, заключившим контракт о добровольном содействии в выполнении задач, возложенных на Вооруженные Силы РФ, войска </w:t>
      </w:r>
      <w:proofErr w:type="spellStart"/>
      <w:r w:rsidRPr="00F74B2D">
        <w:rPr>
          <w:rFonts w:eastAsia="Liberation Sans"/>
          <w:color w:val="333333"/>
          <w:sz w:val="28"/>
          <w:szCs w:val="28"/>
        </w:rPr>
        <w:t>нацгвардии</w:t>
      </w:r>
      <w:proofErr w:type="spellEnd"/>
      <w:r w:rsidRPr="00F74B2D">
        <w:rPr>
          <w:rFonts w:eastAsia="Liberation Sans"/>
          <w:color w:val="333333"/>
          <w:sz w:val="28"/>
          <w:szCs w:val="28"/>
        </w:rPr>
        <w:t xml:space="preserve"> РФ.</w:t>
      </w:r>
    </w:p>
    <w:p w14:paraId="0DBC778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Освобождены от уплаты государственной пошлины при регистрации права собственности в органах Росреестра наследники недвижимого имущества лиц,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 охране государственной собственности и правопорядка, а также имущества лиц, подвергшихся политическим репрессиям, погибших (умерших) вследствие увечья, ранения, травмы, контузии, которые получены при обстрелах, взрывах или разрушениях со стороны вооруженных формирований Украины или террористических актов.</w:t>
      </w:r>
    </w:p>
    <w:p w14:paraId="1241214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14:paraId="67A54D1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Также предусмотрено освобождение от уплаты государственной пошлины за выдачу свидетельств о праве на наследство при наследовании имущества лиц, погибших (умерших) вследствие обстрелов, взрывов или разрушений со стороны Украины и террористических актов.</w:t>
      </w:r>
    </w:p>
    <w:p w14:paraId="4B8C72E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Актуализированы положения Налогового кодекса РФ, предусматривающие льготы по уплате госпошлины, в связи с изданием Указа Президента Российской Федерации от 04 января 2024 года № 11 «Об определении отдельных категорий иностранных граждан и лиц без гражданства, имеющих право обратиться с заявлением о приеме в гражданство Российской Федерации» по вопросам приема в гражданство РФ в упрощенном порядке.</w:t>
      </w:r>
    </w:p>
    <w:p w14:paraId="6621F80A" w14:textId="77777777" w:rsidR="00F74B2D" w:rsidRPr="00F74B2D" w:rsidRDefault="00F74B2D" w:rsidP="00F74B2D">
      <w:pPr>
        <w:ind w:firstLine="709"/>
        <w:jc w:val="center"/>
        <w:rPr>
          <w:sz w:val="28"/>
          <w:szCs w:val="28"/>
        </w:rPr>
      </w:pPr>
    </w:p>
    <w:p w14:paraId="403580D5"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Об ответственности за нарушение правил использования беспилотных летательных аппаратов</w:t>
      </w:r>
    </w:p>
    <w:p w14:paraId="5F9C461E" w14:textId="77777777" w:rsidR="00F74B2D" w:rsidRPr="00F74B2D" w:rsidRDefault="00F74B2D" w:rsidP="00F74B2D">
      <w:pPr>
        <w:ind w:firstLine="709"/>
        <w:jc w:val="center"/>
        <w:rPr>
          <w:sz w:val="28"/>
          <w:szCs w:val="28"/>
        </w:rPr>
      </w:pPr>
    </w:p>
    <w:p w14:paraId="093AC578"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соответствии с приказами Минтранса России от 11.05.2022 № 172 «Об установлении запретных зон» в настоящее время на территории Московской области действует запрет на выдачу разрешений на полеты беспилотных летательных аппаратов (БПЛА).</w:t>
      </w:r>
    </w:p>
    <w:p w14:paraId="2EB63488"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Нарушение введенного запрета влечет за собой административную и уголовную ответственность. Так, статьей 11.4 КоАП РФ предусмотрена административная ответственность за нарушение правил использования </w:t>
      </w:r>
      <w:r w:rsidRPr="00F74B2D">
        <w:rPr>
          <w:rFonts w:eastAsia="Liberation Sans"/>
          <w:color w:val="333333"/>
          <w:sz w:val="28"/>
          <w:szCs w:val="28"/>
        </w:rPr>
        <w:lastRenderedPageBreak/>
        <w:t>воздушного пространства.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(ч. 1 ст. 11.4 КоАП РФ), влечет наложение административного штрафа на граждан в размере от 20 000 до 50 000 рублей, на должностных лиц - от 100 000 до 150 000 рублей, на юридических лиц - от 250 000 до 300 000 рублей или административное приостановление деятельности на срок до 90 суток.</w:t>
      </w:r>
    </w:p>
    <w:p w14:paraId="1F0A182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деяние не содержит уголовно наказуемого деяния (ч. 2 ст. 11.4 КоАП РФ), влечет наложение административного штрафа на граждан в размере от 30 000 до 50 000 рублей, на должностных лиц - от 50 000 до 100 000 рублей, на юридических лиц - от 300 000 до 500 000 рублей или административное приостановление деятельности на срок до 90 суток.</w:t>
      </w:r>
    </w:p>
    <w:p w14:paraId="614C71D8"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Статьей 271.1 УК РФ предусмотрена уголовная ответственность за нарушение правил использования воздушного пространства Российской Федерации.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смерть человека, наказывается лишением свободы на срок до 5 лет с лишением права занимать определенные должности или заниматься определенной деятельностью на срок до трех лет.</w:t>
      </w:r>
    </w:p>
    <w:p w14:paraId="4CB84CBA"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Если указанное деяние повлекло по неосторожности смерть двух и более лиц виновное лицо наказывается лишением свободы на срок до 7 лет с лишением права занимать определенные должности или заниматься определенной деятельностью на срок до 3 лет.</w:t>
      </w:r>
    </w:p>
    <w:p w14:paraId="55644C91" w14:textId="77777777" w:rsidR="00F74B2D" w:rsidRPr="00F74B2D" w:rsidRDefault="00F74B2D" w:rsidP="00F74B2D">
      <w:pPr>
        <w:ind w:firstLine="709"/>
        <w:jc w:val="center"/>
        <w:rPr>
          <w:sz w:val="28"/>
          <w:szCs w:val="28"/>
        </w:rPr>
      </w:pPr>
    </w:p>
    <w:p w14:paraId="03DA3E15"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Наличие печати у некоммерческих организаций с 1 июня не обязательно</w:t>
      </w:r>
    </w:p>
    <w:p w14:paraId="668C5237" w14:textId="77777777" w:rsidR="00F74B2D" w:rsidRPr="00F74B2D" w:rsidRDefault="00F74B2D" w:rsidP="00F74B2D">
      <w:pPr>
        <w:ind w:firstLine="709"/>
        <w:jc w:val="center"/>
        <w:rPr>
          <w:sz w:val="28"/>
          <w:szCs w:val="28"/>
        </w:rPr>
      </w:pPr>
    </w:p>
    <w:p w14:paraId="303AF6BA"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14:paraId="611802E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14:paraId="71334C40"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Федеральным законом от 02.11.2023 № 525-ФЗ с 01.06.2024 отменено общее требование к наличию печати у некоммерческих организаций. Указано, что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w:t>
      </w:r>
    </w:p>
    <w:p w14:paraId="58011D46"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Федеральным законом может быть предусмотрена обязанность некоммерческой организации использовать печать. Сведения о наличии печати должны содержаться в уставе некоммерческой организации.</w:t>
      </w:r>
    </w:p>
    <w:p w14:paraId="3DCCE12B" w14:textId="77777777" w:rsidR="00F74B2D" w:rsidRPr="00F74B2D" w:rsidRDefault="00F74B2D" w:rsidP="00F74B2D">
      <w:pPr>
        <w:ind w:firstLine="709"/>
        <w:jc w:val="center"/>
        <w:rPr>
          <w:sz w:val="28"/>
          <w:szCs w:val="28"/>
        </w:rPr>
      </w:pPr>
    </w:p>
    <w:p w14:paraId="77E7072F" w14:textId="77777777" w:rsidR="00F74B2D" w:rsidRPr="00F74B2D" w:rsidRDefault="00F74B2D" w:rsidP="00F74B2D">
      <w:pPr>
        <w:ind w:firstLine="709"/>
        <w:jc w:val="center"/>
        <w:rPr>
          <w:sz w:val="28"/>
          <w:szCs w:val="28"/>
        </w:rPr>
      </w:pPr>
    </w:p>
    <w:p w14:paraId="750B8ABC"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Физлица без комиссии смогут переводить средства в рублях между своими счетами в разных банках</w:t>
      </w:r>
    </w:p>
    <w:p w14:paraId="56D64774" w14:textId="77777777" w:rsidR="00F74B2D" w:rsidRPr="00F74B2D" w:rsidRDefault="00F74B2D" w:rsidP="00F74B2D">
      <w:pPr>
        <w:ind w:firstLine="709"/>
        <w:jc w:val="center"/>
        <w:rPr>
          <w:sz w:val="28"/>
          <w:szCs w:val="28"/>
        </w:rPr>
      </w:pPr>
    </w:p>
    <w:p w14:paraId="75802267"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Кредитная организация не вправе взимать комиссионное вознаграждение за осуществление по поручению физического лица операций по переводу денежных средств в рублях в размере в совокупности ежемесячно не более 30 млн. рублей с банковского счета (вклада) физического лица, открытого в этой кредитной организации, на банковский счет (вклад) указанного физического лица, открытый в другой кредитной организации, или специальный счет оператора финансовой платформы, бенефициаром по которому выступает указанное физическое лицо. При этом не допускается ограничение кредитной организацией размера или количества таких операций в пределах установленного совокупного ежемесячного размера операций.</w:t>
      </w:r>
    </w:p>
    <w:p w14:paraId="4FB4AD86"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Эти положения не распространяются на операции по переводу денежных средств, осуществляемые при личном присутствии физического лица либо его представителя в кредитной организации, а также на операции по переводу денежных средств с использованием платежных карт.</w:t>
      </w:r>
    </w:p>
    <w:p w14:paraId="6171BAE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Кредитная организация до осуществления операции по переводу денежных средств, осуществляемой при личном присутствии физического лица либо его представителя в кредитной организации, обязана проинформировать физическое лицо либо его представителя об условиях операции по переводу денежных средств.</w:t>
      </w:r>
    </w:p>
    <w:p w14:paraId="631D20B7"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О новшестве банки обязаны проинформировать на своем сайте, в мобильном приложении, в местах оказания услуг. Кроме того, банк должен предупредить клиентов, решивших сделать перевод в отделении банка, о возможности бесплатно перевести средства онлайн.</w:t>
      </w:r>
    </w:p>
    <w:p w14:paraId="6F7CE7AA" w14:textId="77777777" w:rsidR="00F74B2D" w:rsidRPr="00F74B2D" w:rsidRDefault="00F74B2D" w:rsidP="00F74B2D">
      <w:pPr>
        <w:ind w:firstLine="709"/>
        <w:jc w:val="center"/>
        <w:rPr>
          <w:sz w:val="28"/>
          <w:szCs w:val="28"/>
        </w:rPr>
      </w:pPr>
    </w:p>
    <w:p w14:paraId="25D06723"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 xml:space="preserve">О компенсации за задержку </w:t>
      </w:r>
      <w:proofErr w:type="spellStart"/>
      <w:r w:rsidRPr="00F74B2D">
        <w:rPr>
          <w:rFonts w:eastAsia="Liberation Sans"/>
          <w:b/>
          <w:color w:val="333333"/>
          <w:sz w:val="28"/>
          <w:szCs w:val="28"/>
          <w:highlight w:val="white"/>
        </w:rPr>
        <w:t>неначисленных</w:t>
      </w:r>
      <w:proofErr w:type="spellEnd"/>
      <w:r w:rsidRPr="00F74B2D">
        <w:rPr>
          <w:rFonts w:eastAsia="Liberation Sans"/>
          <w:b/>
          <w:color w:val="333333"/>
          <w:sz w:val="28"/>
          <w:szCs w:val="28"/>
          <w:highlight w:val="white"/>
        </w:rPr>
        <w:t xml:space="preserve"> выплат</w:t>
      </w:r>
    </w:p>
    <w:p w14:paraId="47115F4A" w14:textId="77777777" w:rsidR="00F74B2D" w:rsidRPr="00F74B2D" w:rsidRDefault="00F74B2D" w:rsidP="00F74B2D">
      <w:pPr>
        <w:ind w:firstLine="709"/>
        <w:jc w:val="center"/>
        <w:rPr>
          <w:sz w:val="28"/>
          <w:szCs w:val="28"/>
        </w:rPr>
      </w:pPr>
    </w:p>
    <w:p w14:paraId="00816EDB"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В соответствии с Федеральным законом от 30.01.2024 №3-Ф3 с 30 января 2024 года вступили в силу изменения в статью 236 Трудового кодекса РФ о компенсации за задержку </w:t>
      </w:r>
      <w:proofErr w:type="spellStart"/>
      <w:r w:rsidRPr="00F74B2D">
        <w:rPr>
          <w:rFonts w:eastAsia="Liberation Sans"/>
          <w:color w:val="333333"/>
          <w:sz w:val="28"/>
          <w:szCs w:val="28"/>
        </w:rPr>
        <w:t>неначисленных</w:t>
      </w:r>
      <w:proofErr w:type="spellEnd"/>
      <w:r w:rsidRPr="00F74B2D">
        <w:rPr>
          <w:rFonts w:eastAsia="Liberation Sans"/>
          <w:color w:val="333333"/>
          <w:sz w:val="28"/>
          <w:szCs w:val="28"/>
        </w:rPr>
        <w:t xml:space="preserve"> выплат.</w:t>
      </w:r>
    </w:p>
    <w:p w14:paraId="00867A4A"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При нарушении работодателем установленного срока выплат при заработной платы, оплаты отпуска, выплат при увольнении и других выплат, он обязан выплатить работнику денежную компенсацию в размере не ниже 1/150 действующей в это время ключевой ставки Банка России от начисленных, но не выплаченных в срок сумм и (или) </w:t>
      </w:r>
      <w:proofErr w:type="spellStart"/>
      <w:r w:rsidRPr="00F74B2D">
        <w:rPr>
          <w:rFonts w:eastAsia="Liberation Sans"/>
          <w:color w:val="333333"/>
          <w:sz w:val="28"/>
          <w:szCs w:val="28"/>
        </w:rPr>
        <w:t>неначисленных</w:t>
      </w:r>
      <w:proofErr w:type="spellEnd"/>
      <w:r w:rsidRPr="00F74B2D">
        <w:rPr>
          <w:rFonts w:eastAsia="Liberation Sans"/>
          <w:color w:val="333333"/>
          <w:sz w:val="28"/>
          <w:szCs w:val="28"/>
        </w:rPr>
        <w:t xml:space="preserve"> своевременно сумм, если вступившим в законную силу решением суда было признано право работника на получение </w:t>
      </w:r>
      <w:proofErr w:type="spellStart"/>
      <w:r w:rsidRPr="00F74B2D">
        <w:rPr>
          <w:rFonts w:eastAsia="Liberation Sans"/>
          <w:color w:val="333333"/>
          <w:sz w:val="28"/>
          <w:szCs w:val="28"/>
        </w:rPr>
        <w:t>неначисленных</w:t>
      </w:r>
      <w:proofErr w:type="spellEnd"/>
      <w:r w:rsidRPr="00F74B2D">
        <w:rPr>
          <w:rFonts w:eastAsia="Liberation Sans"/>
          <w:color w:val="333333"/>
          <w:sz w:val="28"/>
          <w:szCs w:val="28"/>
        </w:rPr>
        <w:t xml:space="preserve"> сумм, за каждый день задержки.</w:t>
      </w:r>
    </w:p>
    <w:p w14:paraId="420E1B3C"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При неполной выплате в установленный срок заработной платы и других выплат, причитающихся работнику, размер процентов (денежной компенсации) исчисляется из фактически не выплаченных в срок сумм.</w:t>
      </w:r>
    </w:p>
    <w:p w14:paraId="3237B489"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Выплата денежной компенсации обязательна независимо от наличия вины работодателя. В случае спора о размерах сумм, причитающихся работнику при увольнении, работодатель обязан выплатить не оспариваемую им сумму.</w:t>
      </w:r>
    </w:p>
    <w:p w14:paraId="1E15ADEF" w14:textId="77777777" w:rsidR="00F74B2D" w:rsidRPr="00F74B2D" w:rsidRDefault="00F74B2D" w:rsidP="00F74B2D">
      <w:pPr>
        <w:ind w:firstLine="709"/>
        <w:jc w:val="center"/>
        <w:rPr>
          <w:sz w:val="28"/>
          <w:szCs w:val="28"/>
        </w:rPr>
      </w:pPr>
    </w:p>
    <w:p w14:paraId="40BE6C36"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Правовое регулирование предоставления в аренду лесных участков</w:t>
      </w:r>
    </w:p>
    <w:p w14:paraId="644A2AE8" w14:textId="77777777" w:rsidR="00F74B2D" w:rsidRPr="00F74B2D" w:rsidRDefault="00F74B2D" w:rsidP="00F74B2D">
      <w:pPr>
        <w:ind w:firstLine="709"/>
        <w:jc w:val="center"/>
        <w:rPr>
          <w:sz w:val="28"/>
          <w:szCs w:val="28"/>
        </w:rPr>
      </w:pPr>
    </w:p>
    <w:p w14:paraId="0C5CF794"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Предоставление гражданам, юридическим лицам лесных участков, находящихся в государственной или муниципальной собственности, осуществляется на основании ст. 71 Лесного кодекса РФ в соответствии с видами использования лесов, установленными ст. 25 Лесного кодекса РФ.</w:t>
      </w:r>
    </w:p>
    <w:p w14:paraId="65928E74"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 xml:space="preserve">Основные виды использования лесов включают в себя заготовку древесины, живицы, </w:t>
      </w:r>
      <w:proofErr w:type="spellStart"/>
      <w:r w:rsidRPr="00F74B2D">
        <w:rPr>
          <w:rFonts w:eastAsia="Liberation Sans"/>
          <w:color w:val="333333"/>
          <w:sz w:val="28"/>
          <w:szCs w:val="28"/>
        </w:rPr>
        <w:t>недревесных</w:t>
      </w:r>
      <w:proofErr w:type="spellEnd"/>
      <w:r w:rsidRPr="00F74B2D">
        <w:rPr>
          <w:rFonts w:eastAsia="Liberation Sans"/>
          <w:color w:val="333333"/>
          <w:sz w:val="28"/>
          <w:szCs w:val="28"/>
        </w:rPr>
        <w:t xml:space="preserve"> лесных ресурсов, осуществление видов деятельности в сфере охотничьего хозяйства, ведение сельского хозяйства, строительство и эксплуатация водохранилищ и иных искусственных водных объектов и т.д.</w:t>
      </w:r>
    </w:p>
    <w:p w14:paraId="426FDFF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соответствии со ст. 72 Лесного кодекса РФ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учет. Договор аренды лесного участка заключается на срок от 10 до 49 лет, за исключением отдельных случаев.</w:t>
      </w:r>
    </w:p>
    <w:p w14:paraId="58F0E3AC"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Если испрашиваемый лесной участок предстоит образовать или границы лесного участка подлежат уточнению в соответствии с Федеральным законом от 24.06.2007 № 218-ФЗ «О государственной регистрации недвижимости» осуществляется предварительное согласование предоставления лесного участка в порядке, установленном ст. 39.15 Земельного кодекса Российской Федерации.</w:t>
      </w:r>
    </w:p>
    <w:p w14:paraId="2C5B1381" w14:textId="77777777" w:rsidR="00F74B2D" w:rsidRPr="00F74B2D" w:rsidRDefault="00F74B2D" w:rsidP="00F74B2D">
      <w:pPr>
        <w:ind w:firstLine="709"/>
        <w:jc w:val="center"/>
        <w:rPr>
          <w:sz w:val="28"/>
          <w:szCs w:val="28"/>
        </w:rPr>
      </w:pPr>
    </w:p>
    <w:p w14:paraId="3D08036C" w14:textId="77777777" w:rsidR="00F74B2D" w:rsidRPr="00F74B2D" w:rsidRDefault="00F74B2D" w:rsidP="00F74B2D">
      <w:pPr>
        <w:ind w:firstLine="709"/>
        <w:jc w:val="center"/>
        <w:rPr>
          <w:sz w:val="28"/>
          <w:szCs w:val="28"/>
        </w:rPr>
      </w:pPr>
      <w:r w:rsidRPr="00F74B2D">
        <w:rPr>
          <w:rFonts w:eastAsia="Liberation Sans"/>
          <w:b/>
          <w:color w:val="333333"/>
          <w:sz w:val="28"/>
          <w:szCs w:val="28"/>
          <w:highlight w:val="white"/>
        </w:rPr>
        <w:t>Правовое регулирования использования беспилотных летательных аппаратов</w:t>
      </w:r>
    </w:p>
    <w:p w14:paraId="77780B9D" w14:textId="77777777" w:rsidR="00F74B2D" w:rsidRPr="00F74B2D" w:rsidRDefault="00F74B2D" w:rsidP="00F74B2D">
      <w:pPr>
        <w:ind w:firstLine="709"/>
        <w:jc w:val="center"/>
        <w:rPr>
          <w:sz w:val="28"/>
          <w:szCs w:val="28"/>
        </w:rPr>
      </w:pPr>
    </w:p>
    <w:p w14:paraId="53628DE1"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Беспилотным летательным аппаратам (БПЛА) является автоматизированный интерактивный летательный аппарат, способный выполнять полет по заданному маршруту и поддерживать свою ориентацию в пространстве без вмешательства человека, но в то же время готовый реагировать на управляющие воздействия человека-оператора.</w:t>
      </w:r>
    </w:p>
    <w:p w14:paraId="06E9D6B8"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Для использования БПЛА необходима его постановка на государственный учет, получение разрешения на использование воздушного пространства, соблюдение правил выполнения авиационных работ.</w:t>
      </w:r>
    </w:p>
    <w:p w14:paraId="53DF0C7C"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t>В соответствии с приказами Минтранса России от 11.05.2022 № 172 «Об установлении запретных зон» в настоящее время на территории Московской области действует запрет на выдачу разрешений на полеты БПЛА, за исключением проведения оперативными службами и органами государственной власти авиационных работ. Приказ действует до 1 ноября 2026 года.</w:t>
      </w:r>
    </w:p>
    <w:p w14:paraId="2EEEE15E" w14:textId="77777777" w:rsidR="00F74B2D" w:rsidRPr="00F74B2D" w:rsidRDefault="00F74B2D" w:rsidP="00F74B2D">
      <w:pPr>
        <w:pBdr>
          <w:top w:val="none" w:sz="4" w:space="0" w:color="000000"/>
          <w:left w:val="none" w:sz="4" w:space="0" w:color="000000"/>
          <w:bottom w:val="none" w:sz="4" w:space="0" w:color="000000"/>
          <w:right w:val="none" w:sz="4" w:space="0" w:color="000000"/>
        </w:pBdr>
        <w:shd w:val="clear" w:color="FFFFFF" w:fill="FFFFFF"/>
        <w:ind w:firstLine="709"/>
        <w:jc w:val="both"/>
        <w:rPr>
          <w:sz w:val="28"/>
          <w:szCs w:val="28"/>
        </w:rPr>
      </w:pPr>
      <w:r w:rsidRPr="00F74B2D">
        <w:rPr>
          <w:rFonts w:eastAsia="Liberation Sans"/>
          <w:color w:val="333333"/>
          <w:sz w:val="28"/>
          <w:szCs w:val="28"/>
        </w:rPr>
        <w:lastRenderedPageBreak/>
        <w:t>Нарушение введенного запрета влечет за собой административную (ст. 11.4 КоАП РФ) и уголовную (ст. 271.1 УК РФ) ответственность.</w:t>
      </w:r>
    </w:p>
    <w:p w14:paraId="1D489157" w14:textId="77777777" w:rsidR="00F74B2D" w:rsidRPr="00F74B2D" w:rsidRDefault="00F74B2D" w:rsidP="00F74B2D">
      <w:pPr>
        <w:ind w:firstLine="709"/>
        <w:jc w:val="center"/>
        <w:rPr>
          <w:sz w:val="28"/>
          <w:szCs w:val="28"/>
        </w:rPr>
      </w:pPr>
    </w:p>
    <w:p w14:paraId="03FC874F" w14:textId="77777777" w:rsidR="00F74B2D" w:rsidRPr="00F74B2D" w:rsidRDefault="00F74B2D" w:rsidP="00F74B2D">
      <w:pPr>
        <w:ind w:firstLine="709"/>
        <w:jc w:val="center"/>
        <w:rPr>
          <w:sz w:val="28"/>
          <w:szCs w:val="28"/>
        </w:rPr>
      </w:pPr>
    </w:p>
    <w:p w14:paraId="09DF86DE" w14:textId="77777777" w:rsidR="00F74B2D" w:rsidRPr="00F74B2D" w:rsidRDefault="00F74B2D" w:rsidP="00F74B2D">
      <w:pPr>
        <w:ind w:firstLine="709"/>
        <w:jc w:val="center"/>
        <w:rPr>
          <w:sz w:val="28"/>
          <w:szCs w:val="28"/>
        </w:rPr>
      </w:pPr>
    </w:p>
    <w:p w14:paraId="5F45A9B8" w14:textId="77777777" w:rsidR="00F74B2D" w:rsidRPr="00F74B2D" w:rsidRDefault="00F74B2D" w:rsidP="00F74B2D">
      <w:pPr>
        <w:ind w:firstLine="709"/>
        <w:jc w:val="center"/>
        <w:rPr>
          <w:sz w:val="28"/>
          <w:szCs w:val="28"/>
        </w:rPr>
      </w:pPr>
    </w:p>
    <w:p w14:paraId="0E8CE518" w14:textId="77777777" w:rsidR="00F74B2D" w:rsidRPr="00F74B2D" w:rsidRDefault="00F74B2D" w:rsidP="00F74B2D">
      <w:pPr>
        <w:ind w:firstLine="709"/>
        <w:jc w:val="center"/>
        <w:rPr>
          <w:sz w:val="28"/>
          <w:szCs w:val="28"/>
        </w:rPr>
      </w:pPr>
    </w:p>
    <w:p w14:paraId="4E3D76C0" w14:textId="77777777" w:rsidR="00F74B2D" w:rsidRPr="00F74B2D" w:rsidRDefault="00F74B2D" w:rsidP="00F74B2D">
      <w:pPr>
        <w:ind w:firstLine="709"/>
        <w:jc w:val="center"/>
        <w:rPr>
          <w:sz w:val="28"/>
          <w:szCs w:val="28"/>
        </w:rPr>
      </w:pPr>
    </w:p>
    <w:p w14:paraId="0488F23E" w14:textId="77777777" w:rsidR="000A271E" w:rsidRPr="00F74B2D" w:rsidRDefault="0013334D" w:rsidP="00F74B2D">
      <w:pPr>
        <w:ind w:firstLine="709"/>
        <w:rPr>
          <w:sz w:val="28"/>
          <w:szCs w:val="28"/>
        </w:rPr>
      </w:pPr>
    </w:p>
    <w:sectPr w:rsidR="000A271E" w:rsidRPr="00F74B2D" w:rsidSect="0013334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E366D"/>
    <w:multiLevelType w:val="hybridMultilevel"/>
    <w:tmpl w:val="82044E50"/>
    <w:lvl w:ilvl="0" w:tplc="BBC049FC">
      <w:start w:val="1"/>
      <w:numFmt w:val="bullet"/>
      <w:lvlText w:val="·"/>
      <w:lvlJc w:val="left"/>
      <w:pPr>
        <w:ind w:left="709" w:hanging="360"/>
      </w:pPr>
      <w:rPr>
        <w:rFonts w:ascii="Symbol" w:eastAsia="Symbol" w:hAnsi="Symbol" w:cs="Symbol" w:hint="default"/>
        <w:color w:val="333333"/>
        <w:sz w:val="26"/>
      </w:rPr>
    </w:lvl>
    <w:lvl w:ilvl="1" w:tplc="A7284008">
      <w:start w:val="1"/>
      <w:numFmt w:val="bullet"/>
      <w:lvlText w:val="·"/>
      <w:lvlJc w:val="left"/>
      <w:pPr>
        <w:ind w:left="1429" w:hanging="360"/>
      </w:pPr>
      <w:rPr>
        <w:rFonts w:ascii="Symbol" w:eastAsia="Symbol" w:hAnsi="Symbol" w:cs="Symbol" w:hint="default"/>
        <w:color w:val="333333"/>
        <w:sz w:val="26"/>
      </w:rPr>
    </w:lvl>
    <w:lvl w:ilvl="2" w:tplc="E51E2F38">
      <w:start w:val="1"/>
      <w:numFmt w:val="bullet"/>
      <w:lvlText w:val="·"/>
      <w:lvlJc w:val="left"/>
      <w:pPr>
        <w:ind w:left="2149" w:hanging="360"/>
      </w:pPr>
      <w:rPr>
        <w:rFonts w:ascii="Symbol" w:eastAsia="Symbol" w:hAnsi="Symbol" w:cs="Symbol" w:hint="default"/>
        <w:color w:val="333333"/>
        <w:sz w:val="26"/>
      </w:rPr>
    </w:lvl>
    <w:lvl w:ilvl="3" w:tplc="D6504A96">
      <w:start w:val="1"/>
      <w:numFmt w:val="bullet"/>
      <w:lvlText w:val="·"/>
      <w:lvlJc w:val="left"/>
      <w:pPr>
        <w:ind w:left="2869" w:hanging="360"/>
      </w:pPr>
      <w:rPr>
        <w:rFonts w:ascii="Symbol" w:eastAsia="Symbol" w:hAnsi="Symbol" w:cs="Symbol" w:hint="default"/>
        <w:color w:val="333333"/>
        <w:sz w:val="26"/>
      </w:rPr>
    </w:lvl>
    <w:lvl w:ilvl="4" w:tplc="D92602A2">
      <w:start w:val="1"/>
      <w:numFmt w:val="bullet"/>
      <w:lvlText w:val="·"/>
      <w:lvlJc w:val="left"/>
      <w:pPr>
        <w:ind w:left="3589" w:hanging="360"/>
      </w:pPr>
      <w:rPr>
        <w:rFonts w:ascii="Symbol" w:eastAsia="Symbol" w:hAnsi="Symbol" w:cs="Symbol" w:hint="default"/>
        <w:color w:val="333333"/>
        <w:sz w:val="26"/>
      </w:rPr>
    </w:lvl>
    <w:lvl w:ilvl="5" w:tplc="3D22CB28">
      <w:start w:val="1"/>
      <w:numFmt w:val="bullet"/>
      <w:lvlText w:val="·"/>
      <w:lvlJc w:val="left"/>
      <w:pPr>
        <w:ind w:left="4309" w:hanging="360"/>
      </w:pPr>
      <w:rPr>
        <w:rFonts w:ascii="Symbol" w:eastAsia="Symbol" w:hAnsi="Symbol" w:cs="Symbol" w:hint="default"/>
        <w:color w:val="333333"/>
        <w:sz w:val="26"/>
      </w:rPr>
    </w:lvl>
    <w:lvl w:ilvl="6" w:tplc="64380FEA">
      <w:start w:val="1"/>
      <w:numFmt w:val="bullet"/>
      <w:lvlText w:val="·"/>
      <w:lvlJc w:val="left"/>
      <w:pPr>
        <w:ind w:left="5029" w:hanging="360"/>
      </w:pPr>
      <w:rPr>
        <w:rFonts w:ascii="Symbol" w:eastAsia="Symbol" w:hAnsi="Symbol" w:cs="Symbol" w:hint="default"/>
        <w:color w:val="333333"/>
        <w:sz w:val="26"/>
      </w:rPr>
    </w:lvl>
    <w:lvl w:ilvl="7" w:tplc="E872F5D2">
      <w:start w:val="1"/>
      <w:numFmt w:val="bullet"/>
      <w:lvlText w:val="·"/>
      <w:lvlJc w:val="left"/>
      <w:pPr>
        <w:ind w:left="5749" w:hanging="360"/>
      </w:pPr>
      <w:rPr>
        <w:rFonts w:ascii="Symbol" w:eastAsia="Symbol" w:hAnsi="Symbol" w:cs="Symbol" w:hint="default"/>
        <w:color w:val="333333"/>
        <w:sz w:val="26"/>
      </w:rPr>
    </w:lvl>
    <w:lvl w:ilvl="8" w:tplc="243EB420">
      <w:start w:val="1"/>
      <w:numFmt w:val="bullet"/>
      <w:lvlText w:val="·"/>
      <w:lvlJc w:val="left"/>
      <w:pPr>
        <w:ind w:left="6469" w:hanging="360"/>
      </w:pPr>
      <w:rPr>
        <w:rFonts w:ascii="Symbol" w:eastAsia="Symbol" w:hAnsi="Symbol" w:cs="Symbol" w:hint="default"/>
        <w:color w:val="333333"/>
        <w:sz w:val="26"/>
      </w:rPr>
    </w:lvl>
  </w:abstractNum>
  <w:abstractNum w:abstractNumId="1" w15:restartNumberingAfterBreak="0">
    <w:nsid w:val="5A6A5D8E"/>
    <w:multiLevelType w:val="hybridMultilevel"/>
    <w:tmpl w:val="9DBA6640"/>
    <w:lvl w:ilvl="0" w:tplc="2FE2454A">
      <w:start w:val="1"/>
      <w:numFmt w:val="bullet"/>
      <w:lvlText w:val="·"/>
      <w:lvlJc w:val="left"/>
      <w:pPr>
        <w:ind w:left="709" w:hanging="360"/>
      </w:pPr>
      <w:rPr>
        <w:rFonts w:ascii="Symbol" w:eastAsia="Symbol" w:hAnsi="Symbol" w:cs="Symbol" w:hint="default"/>
        <w:color w:val="333333"/>
        <w:sz w:val="26"/>
      </w:rPr>
    </w:lvl>
    <w:lvl w:ilvl="1" w:tplc="878A31FA">
      <w:start w:val="1"/>
      <w:numFmt w:val="bullet"/>
      <w:lvlText w:val="·"/>
      <w:lvlJc w:val="left"/>
      <w:pPr>
        <w:ind w:left="1429" w:hanging="360"/>
      </w:pPr>
      <w:rPr>
        <w:rFonts w:ascii="Symbol" w:eastAsia="Symbol" w:hAnsi="Symbol" w:cs="Symbol" w:hint="default"/>
        <w:color w:val="333333"/>
        <w:sz w:val="26"/>
      </w:rPr>
    </w:lvl>
    <w:lvl w:ilvl="2" w:tplc="D378327C">
      <w:start w:val="1"/>
      <w:numFmt w:val="bullet"/>
      <w:lvlText w:val="·"/>
      <w:lvlJc w:val="left"/>
      <w:pPr>
        <w:ind w:left="2149" w:hanging="360"/>
      </w:pPr>
      <w:rPr>
        <w:rFonts w:ascii="Symbol" w:eastAsia="Symbol" w:hAnsi="Symbol" w:cs="Symbol" w:hint="default"/>
        <w:color w:val="333333"/>
        <w:sz w:val="26"/>
      </w:rPr>
    </w:lvl>
    <w:lvl w:ilvl="3" w:tplc="23EC59E8">
      <w:start w:val="1"/>
      <w:numFmt w:val="bullet"/>
      <w:lvlText w:val="·"/>
      <w:lvlJc w:val="left"/>
      <w:pPr>
        <w:ind w:left="2869" w:hanging="360"/>
      </w:pPr>
      <w:rPr>
        <w:rFonts w:ascii="Symbol" w:eastAsia="Symbol" w:hAnsi="Symbol" w:cs="Symbol" w:hint="default"/>
        <w:color w:val="333333"/>
        <w:sz w:val="26"/>
      </w:rPr>
    </w:lvl>
    <w:lvl w:ilvl="4" w:tplc="91BA09AA">
      <w:start w:val="1"/>
      <w:numFmt w:val="bullet"/>
      <w:lvlText w:val="·"/>
      <w:lvlJc w:val="left"/>
      <w:pPr>
        <w:ind w:left="3589" w:hanging="360"/>
      </w:pPr>
      <w:rPr>
        <w:rFonts w:ascii="Symbol" w:eastAsia="Symbol" w:hAnsi="Symbol" w:cs="Symbol" w:hint="default"/>
        <w:color w:val="333333"/>
        <w:sz w:val="26"/>
      </w:rPr>
    </w:lvl>
    <w:lvl w:ilvl="5" w:tplc="2D86B48E">
      <w:start w:val="1"/>
      <w:numFmt w:val="bullet"/>
      <w:lvlText w:val="·"/>
      <w:lvlJc w:val="left"/>
      <w:pPr>
        <w:ind w:left="4309" w:hanging="360"/>
      </w:pPr>
      <w:rPr>
        <w:rFonts w:ascii="Symbol" w:eastAsia="Symbol" w:hAnsi="Symbol" w:cs="Symbol" w:hint="default"/>
        <w:color w:val="333333"/>
        <w:sz w:val="26"/>
      </w:rPr>
    </w:lvl>
    <w:lvl w:ilvl="6" w:tplc="3F029024">
      <w:start w:val="1"/>
      <w:numFmt w:val="bullet"/>
      <w:lvlText w:val="·"/>
      <w:lvlJc w:val="left"/>
      <w:pPr>
        <w:ind w:left="5029" w:hanging="360"/>
      </w:pPr>
      <w:rPr>
        <w:rFonts w:ascii="Symbol" w:eastAsia="Symbol" w:hAnsi="Symbol" w:cs="Symbol" w:hint="default"/>
        <w:color w:val="333333"/>
        <w:sz w:val="26"/>
      </w:rPr>
    </w:lvl>
    <w:lvl w:ilvl="7" w:tplc="39943460">
      <w:start w:val="1"/>
      <w:numFmt w:val="bullet"/>
      <w:lvlText w:val="·"/>
      <w:lvlJc w:val="left"/>
      <w:pPr>
        <w:ind w:left="5749" w:hanging="360"/>
      </w:pPr>
      <w:rPr>
        <w:rFonts w:ascii="Symbol" w:eastAsia="Symbol" w:hAnsi="Symbol" w:cs="Symbol" w:hint="default"/>
        <w:color w:val="333333"/>
        <w:sz w:val="26"/>
      </w:rPr>
    </w:lvl>
    <w:lvl w:ilvl="8" w:tplc="B6F8E420">
      <w:start w:val="1"/>
      <w:numFmt w:val="bullet"/>
      <w:lvlText w:val="·"/>
      <w:lvlJc w:val="left"/>
      <w:pPr>
        <w:ind w:left="6469" w:hanging="360"/>
      </w:pPr>
      <w:rPr>
        <w:rFonts w:ascii="Symbol" w:eastAsia="Symbol" w:hAnsi="Symbol" w:cs="Symbol" w:hint="default"/>
        <w:color w:val="333333"/>
        <w:sz w:val="26"/>
      </w:rPr>
    </w:lvl>
  </w:abstractNum>
  <w:abstractNum w:abstractNumId="2" w15:restartNumberingAfterBreak="0">
    <w:nsid w:val="73C81370"/>
    <w:multiLevelType w:val="hybridMultilevel"/>
    <w:tmpl w:val="B1CEB600"/>
    <w:lvl w:ilvl="0" w:tplc="C826E97A">
      <w:start w:val="1"/>
      <w:numFmt w:val="bullet"/>
      <w:lvlText w:val="·"/>
      <w:lvlJc w:val="left"/>
      <w:pPr>
        <w:ind w:left="709" w:hanging="360"/>
      </w:pPr>
      <w:rPr>
        <w:rFonts w:ascii="Symbol" w:eastAsia="Symbol" w:hAnsi="Symbol" w:cs="Symbol" w:hint="default"/>
        <w:color w:val="333333"/>
        <w:sz w:val="26"/>
      </w:rPr>
    </w:lvl>
    <w:lvl w:ilvl="1" w:tplc="A308DFBE">
      <w:start w:val="1"/>
      <w:numFmt w:val="bullet"/>
      <w:lvlText w:val="·"/>
      <w:lvlJc w:val="left"/>
      <w:pPr>
        <w:ind w:left="1429" w:hanging="360"/>
      </w:pPr>
      <w:rPr>
        <w:rFonts w:ascii="Symbol" w:eastAsia="Symbol" w:hAnsi="Symbol" w:cs="Symbol" w:hint="default"/>
        <w:color w:val="333333"/>
        <w:sz w:val="26"/>
      </w:rPr>
    </w:lvl>
    <w:lvl w:ilvl="2" w:tplc="26E0C0F2">
      <w:start w:val="1"/>
      <w:numFmt w:val="bullet"/>
      <w:lvlText w:val="·"/>
      <w:lvlJc w:val="left"/>
      <w:pPr>
        <w:ind w:left="2149" w:hanging="360"/>
      </w:pPr>
      <w:rPr>
        <w:rFonts w:ascii="Symbol" w:eastAsia="Symbol" w:hAnsi="Symbol" w:cs="Symbol" w:hint="default"/>
        <w:color w:val="333333"/>
        <w:sz w:val="26"/>
      </w:rPr>
    </w:lvl>
    <w:lvl w:ilvl="3" w:tplc="98D4830E">
      <w:start w:val="1"/>
      <w:numFmt w:val="bullet"/>
      <w:lvlText w:val="·"/>
      <w:lvlJc w:val="left"/>
      <w:pPr>
        <w:ind w:left="2869" w:hanging="360"/>
      </w:pPr>
      <w:rPr>
        <w:rFonts w:ascii="Symbol" w:eastAsia="Symbol" w:hAnsi="Symbol" w:cs="Symbol" w:hint="default"/>
        <w:color w:val="333333"/>
        <w:sz w:val="26"/>
      </w:rPr>
    </w:lvl>
    <w:lvl w:ilvl="4" w:tplc="20861DE8">
      <w:start w:val="1"/>
      <w:numFmt w:val="bullet"/>
      <w:lvlText w:val="·"/>
      <w:lvlJc w:val="left"/>
      <w:pPr>
        <w:ind w:left="3589" w:hanging="360"/>
      </w:pPr>
      <w:rPr>
        <w:rFonts w:ascii="Symbol" w:eastAsia="Symbol" w:hAnsi="Symbol" w:cs="Symbol" w:hint="default"/>
        <w:color w:val="333333"/>
        <w:sz w:val="26"/>
      </w:rPr>
    </w:lvl>
    <w:lvl w:ilvl="5" w:tplc="C31C7A06">
      <w:start w:val="1"/>
      <w:numFmt w:val="bullet"/>
      <w:lvlText w:val="·"/>
      <w:lvlJc w:val="left"/>
      <w:pPr>
        <w:ind w:left="4309" w:hanging="360"/>
      </w:pPr>
      <w:rPr>
        <w:rFonts w:ascii="Symbol" w:eastAsia="Symbol" w:hAnsi="Symbol" w:cs="Symbol" w:hint="default"/>
        <w:color w:val="333333"/>
        <w:sz w:val="26"/>
      </w:rPr>
    </w:lvl>
    <w:lvl w:ilvl="6" w:tplc="DF3A771E">
      <w:start w:val="1"/>
      <w:numFmt w:val="bullet"/>
      <w:lvlText w:val="·"/>
      <w:lvlJc w:val="left"/>
      <w:pPr>
        <w:ind w:left="5029" w:hanging="360"/>
      </w:pPr>
      <w:rPr>
        <w:rFonts w:ascii="Symbol" w:eastAsia="Symbol" w:hAnsi="Symbol" w:cs="Symbol" w:hint="default"/>
        <w:color w:val="333333"/>
        <w:sz w:val="26"/>
      </w:rPr>
    </w:lvl>
    <w:lvl w:ilvl="7" w:tplc="1E40F7B6">
      <w:start w:val="1"/>
      <w:numFmt w:val="bullet"/>
      <w:lvlText w:val="·"/>
      <w:lvlJc w:val="left"/>
      <w:pPr>
        <w:ind w:left="5749" w:hanging="360"/>
      </w:pPr>
      <w:rPr>
        <w:rFonts w:ascii="Symbol" w:eastAsia="Symbol" w:hAnsi="Symbol" w:cs="Symbol" w:hint="default"/>
        <w:color w:val="333333"/>
        <w:sz w:val="26"/>
      </w:rPr>
    </w:lvl>
    <w:lvl w:ilvl="8" w:tplc="B84E27EA">
      <w:start w:val="1"/>
      <w:numFmt w:val="bullet"/>
      <w:lvlText w:val="·"/>
      <w:lvlJc w:val="left"/>
      <w:pPr>
        <w:ind w:left="6469" w:hanging="360"/>
      </w:pPr>
      <w:rPr>
        <w:rFonts w:ascii="Symbol" w:eastAsia="Symbol" w:hAnsi="Symbol" w:cs="Symbol" w:hint="default"/>
        <w:color w:val="333333"/>
        <w:sz w:val="2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2D"/>
    <w:rsid w:val="0013334D"/>
    <w:rsid w:val="005F2552"/>
    <w:rsid w:val="00A524E3"/>
    <w:rsid w:val="00C16B2D"/>
    <w:rsid w:val="00F7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63F83-CE76-4955-AC3D-9CB60A19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2D"/>
    <w:pPr>
      <w:ind w:left="720"/>
      <w:contextualSpacing/>
    </w:pPr>
  </w:style>
  <w:style w:type="paragraph" w:styleId="a4">
    <w:name w:val="Balloon Text"/>
    <w:basedOn w:val="a"/>
    <w:link w:val="a5"/>
    <w:uiPriority w:val="99"/>
    <w:semiHidden/>
    <w:unhideWhenUsed/>
    <w:rsid w:val="0013334D"/>
    <w:rPr>
      <w:rFonts w:ascii="Segoe UI" w:hAnsi="Segoe UI" w:cs="Segoe UI"/>
      <w:sz w:val="18"/>
      <w:szCs w:val="18"/>
    </w:rPr>
  </w:style>
  <w:style w:type="character" w:customStyle="1" w:styleId="a5">
    <w:name w:val="Текст выноски Знак"/>
    <w:basedOn w:val="a0"/>
    <w:link w:val="a4"/>
    <w:uiPriority w:val="99"/>
    <w:semiHidden/>
    <w:rsid w:val="0013334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4049</Words>
  <Characters>23080</Characters>
  <Application>Microsoft Office Word</Application>
  <DocSecurity>0</DocSecurity>
  <Lines>192</Lines>
  <Paragraphs>54</Paragraphs>
  <ScaleCrop>false</ScaleCrop>
  <Company>Прокуратура РФ</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Конденков Илья Сергеевич</dc:creator>
  <cp:keywords/>
  <dc:description/>
  <cp:lastModifiedBy>Тукан Галина Викторовна</cp:lastModifiedBy>
  <cp:revision>3</cp:revision>
  <cp:lastPrinted>2024-05-30T09:36:00Z</cp:lastPrinted>
  <dcterms:created xsi:type="dcterms:W3CDTF">2024-05-30T09:37:00Z</dcterms:created>
  <dcterms:modified xsi:type="dcterms:W3CDTF">2024-05-30T09:37:00Z</dcterms:modified>
</cp:coreProperties>
</file>