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9E" w:rsidRPr="00A71A9E" w:rsidRDefault="00A71A9E" w:rsidP="00A71A9E">
      <w:pPr>
        <w:spacing w:before="161" w:after="161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A71A9E">
        <w:rPr>
          <w:rFonts w:ascii="Tahoma" w:eastAsia="Times New Roman" w:hAnsi="Tahoma" w:cs="Tahoma"/>
          <w:b/>
          <w:bCs/>
          <w:color w:val="000000"/>
          <w:lang w:eastAsia="ru-RU"/>
        </w:rPr>
        <w:t>Извещение о проведении электронного аукциона</w:t>
      </w:r>
    </w:p>
    <w:p w:rsidR="00A71A9E" w:rsidRPr="00A71A9E" w:rsidRDefault="00A71A9E" w:rsidP="00A71A9E">
      <w:pPr>
        <w:spacing w:before="161" w:after="161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A71A9E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для закупки №0153300018425000001</w:t>
      </w:r>
    </w:p>
    <w:tbl>
      <w:tblPr>
        <w:tblW w:w="11595" w:type="dxa"/>
        <w:tblCellMar>
          <w:left w:w="0" w:type="dxa"/>
          <w:right w:w="0" w:type="dxa"/>
        </w:tblCellMar>
        <w:tblLook w:val="04A0"/>
      </w:tblPr>
      <w:tblGrid>
        <w:gridCol w:w="3906"/>
        <w:gridCol w:w="770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71A9E" w:rsidRPr="00A71A9E" w:rsidTr="00A71A9E">
        <w:trPr>
          <w:gridAfter w:val="6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FF0000"/>
                <w:sz w:val="13"/>
                <w:szCs w:val="13"/>
                <w:lang w:eastAsia="ru-RU"/>
              </w:rPr>
              <w:t xml:space="preserve">Внимание! </w:t>
            </w:r>
            <w:proofErr w:type="gramStart"/>
            <w:r w:rsidRPr="00A71A9E">
              <w:rPr>
                <w:rFonts w:ascii="Tahoma" w:eastAsia="Times New Roman" w:hAnsi="Tahoma" w:cs="Tahoma"/>
                <w:color w:val="FF0000"/>
                <w:sz w:val="13"/>
                <w:szCs w:val="13"/>
                <w:lang w:eastAsia="ru-RU"/>
              </w:rPr>
              <w:t xml:space="preserve">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</w:t>
            </w:r>
            <w:proofErr w:type="spellStart"/>
            <w:r w:rsidRPr="00A71A9E">
              <w:rPr>
                <w:rFonts w:ascii="Tahoma" w:eastAsia="Times New Roman" w:hAnsi="Tahoma" w:cs="Tahoma"/>
                <w:color w:val="FF0000"/>
                <w:sz w:val="13"/>
                <w:szCs w:val="13"/>
                <w:lang w:eastAsia="ru-RU"/>
              </w:rPr>
              <w:t>КоАП</w:t>
            </w:r>
            <w:proofErr w:type="spellEnd"/>
            <w:r w:rsidRPr="00A71A9E">
              <w:rPr>
                <w:rFonts w:ascii="Tahoma" w:eastAsia="Times New Roman" w:hAnsi="Tahoma" w:cs="Tahoma"/>
                <w:color w:val="FF0000"/>
                <w:sz w:val="13"/>
                <w:szCs w:val="13"/>
                <w:lang w:eastAsia="ru-RU"/>
              </w:rPr>
              <w:t xml:space="preserve"> РФ и ст. 178 УК РФ</w:t>
            </w:r>
            <w:proofErr w:type="gramEnd"/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0153300018425000001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Оказание услуг по перевозке пассажиров и багажа автомобильным транспортом по муниципальным маршрутам регулярных перевозок в пределах муниципального образования Грачевский район Оренбургской области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Электронный аукцион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АО «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Сбербанк-АСТ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»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http://www.sberbank-ast.ru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Уполномоченный орган</w:t>
            </w: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br/>
              <w:t>АДМИНИСТРАЦИЯ МУНИЦИПАЛЬНОГО ОБРАЗОВАНИЯ ГРАЧЕВСКИЙ РАЙОН ОРЕНБУРГСКОЙ ОБЛАСТИ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461800, Оренбургская область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,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ГРАЧЕВСКИЙ Р-Н, С ГРАЧЕВКА, УЛ МАЙСКАЯ, ЗД. 22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461800, Оренбургская область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,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ГРАЧЕВСКИЙ Р-Н, С ГРАЧЕВКА, УЛ МАЙСКАЯ, ЗД. 22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Бахарева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Ольга Анатольевна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pominov@gr.orb.ru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7-353-4421630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отсутствует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отсутствует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lastRenderedPageBreak/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28.01.2025 08:30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28.01.2025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29.01.2025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1599543.32 РОССИЙСКИЙ РУБЛЬ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253562700214056270100100050014931244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1 АДМИНИСТРАЦИЯ МУНИЦИПАЛЬНОГО ОБРАЗОВАНИЯ ГРАЧЕВСКИЙ РАЙОН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1599543.32 РОССИЙСКИЙ РУБЛЬ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 даты заключения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контракта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31.12.2025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бюджет муниципального образования Грачевский район Оренбургской области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местный бюджет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53615000: Муниципальные образования Оренбургской области / Муниципальные районы Оренбургской области / Грачёвский муниципальный район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1"/>
              <w:gridCol w:w="2204"/>
              <w:gridCol w:w="2204"/>
              <w:gridCol w:w="2204"/>
              <w:gridCol w:w="3374"/>
            </w:tblGrid>
            <w:tr w:rsidR="00A71A9E" w:rsidRPr="00A71A9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1599543.32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1599543.32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09"/>
              <w:gridCol w:w="1248"/>
              <w:gridCol w:w="1283"/>
              <w:gridCol w:w="961"/>
              <w:gridCol w:w="961"/>
              <w:gridCol w:w="2465"/>
            </w:tblGrid>
            <w:tr w:rsidR="00A71A9E" w:rsidRPr="00A71A9E">
              <w:tc>
                <w:tcPr>
                  <w:tcW w:w="4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A71A9E" w:rsidRPr="00A71A9E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11104080440440110244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1599543.32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1599543.32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1599543.32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Российская Федерация, </w:t>
            </w:r>
            <w:proofErr w:type="spellStart"/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обл</w:t>
            </w:r>
            <w:proofErr w:type="spellEnd"/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Оренбургская, м.р-н Грачёвский, муниципальные маршруты в пределах муниципального образования Грачевский район Оренбургской области, в том числе: - маршрут «Грачевка -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Верхнеигнашкино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» - маршрут «Грачевка -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Таллы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» - маршрут «Грачевка - Александровка» - маршрут «Грачевка -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Подлесный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» - маршрут «Грачевка - Ключи» - маршрут «Грачевка -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Малояшкино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» - маршрут «Грачевка - Победа» - маршрут «Грачевка –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Ероховка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»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7997.72 РОССИЙСКИЙ РУБЛЬ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Порядок внесения денежных сре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дств в к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Обеспечение заявки на участие в закупке может предоставляться участником закупки в виде денежных средств или независимой гарантии. Выбор способа обеспечения заявки на участие в закупке осуществляется участником закупки. Денежные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средства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,п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редназначенные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для обеспечения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заявок,вносятся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участниками закупок на специальные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счета,открытые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ими в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банках,перечень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которых установлен распоряжением Правительства РФ от 13.07.2018г. N1451-р. Требования к договору спец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.с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чета установлены ПП РФ от 30.05.2018 N626. Участники закупки государств - членов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ЕАЭС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,з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исключением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РФ,или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физическими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лицами,являющимися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гражданами государств - членов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ЕАЭС,за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исключением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РФ,вправе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предоставить обеспечение заявок в виде денежных средств с учетом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особенностей,установленных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постановлением Правительства РФ от 10.04.2023 №579 Обеспечение заявки возможно путем блокирования денежных средств при наличии на спец.счете участника закупки не заблокированных денежных средств в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размере,предусмотренном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настоящим извещением. Подачей заявки на участие в закупке участник закупки выражает согласие на блокирование денежных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средств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,н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аходящихся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на его спец.счете в размере обеспечения соответствующей заявки. Обеспечение заявки на участие в закупке может обеспечиваться предоставлением независимой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гарантии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,с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оответствующей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требованиям ст.45 44-ФЗ. Независимая гарантия должна быть включена в реестр независимых 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гарантий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,р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азмещенный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в ЕИС. Независимая гарантия оформляется в письменной форме на бумажном носителе или в форме электронного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документа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,п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одписанного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электронной подписью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лица,имеющего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право действовать от имени гаранта. Независимая гарантия должна быть безотзывной и должна содержать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информацию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,у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казанную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в ч.2 и 3 ст. 45 44-ФЗ,а также дополнительную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информацию,указанную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в  ПП РФ от 08.11.2013 N1005 Срок действия независимой гарантии должен составлять не менее месяца с даты окончания срока подачи заявок.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Государственные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,м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униципальные</w:t>
            </w:r>
            <w:proofErr w:type="spell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учреждения не предоставляют обеспечение подаваемых ими заявок на участие в закупках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Реквизиты счета для учета операций со средствами, поступающими заказчику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Реквизиты счета для учета операций со средствами, поступающими заказчику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расчётного счёта"03232643536150005300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лицевого счёта"005060010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"Код поступления" Информация отсутствует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"БИК"015354008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"Наименование кредитной организации"Отделение Оренбург Банка России//УФК по Оренбургской области, г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.О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ренбург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корреспондентского счета"40102810545370000045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0.50%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контракта, за исключением случаев, указанных в 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ч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.8 и 8.1 ст.96 № 44-ФЗ. Исполнение контракта может обеспечиваться независимой гарантией, выданной в соответствии 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требованиям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ст.45 № 44-ФЗ, или денежными средствами. Способ обеспечения исполнения контракта определяется участником закупки, с которым заключается контракт, самостоятельно. В случае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,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если участником закупки, с которым заключается контракт, является казенное учреждение, требование об обеспечении исполнения контракта к нему не применяются. Требования к обеспечению исполнения контракта, предоставляемому в виде независимой гарантии, установлены в ст.45 № 44-ФЗ. Независимая гарантия должна быть включена в реестр независимых гарантий, размещенный в единой информационной системе. Независимая гарантия должна быть безотзывной и должна содержать информацию, указанную в 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ч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.2 и 3 ст.45 44-ФЗ, а также дополнительную информацию, указанную в ПП РФ от 08.11.2013 N1005.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гарантией, не менее чем на один месяц, в том числе в случае его изменения в соответствии со ст.95 № 44-ФЗ. Требования к обеспечению исполнения контракта, предоставляемому в виде денежных средств: денежные средства, вносимые в обеспечение исполнения контракта, должны быть перечислены в размере и по реквизитам, установленном в настоящем извещении с обязательным указанием соответствующего назначения платежа в платежном поручении; факт внесения денежных средств в обеспечение исполнения контракта подтверждается платежным поручением с отметкой банка об оплате, квитанцией в случае наличной формы оплаты; денежные средства должны быть перечислены до заключения контракта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расчётного счёта"03232643536150005300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лицевого счёта"005060010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"Код поступления" Информация отсутствует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"БИК"015354008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"Наименование кредитной организации"Отделение Оренбург Банка России//УФК по Оренбургской области, г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.О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ренбург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"Номер корреспондентского счета"40102810545370000045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согласно проекта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муниципального контракта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согласно проекта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муниципального контракта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согласно проекта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 муниципального контракта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Информация отсутствует</w:t>
            </w: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56"/>
              <w:gridCol w:w="1215"/>
              <w:gridCol w:w="785"/>
              <w:gridCol w:w="1396"/>
              <w:gridCol w:w="969"/>
              <w:gridCol w:w="2862"/>
              <w:gridCol w:w="1144"/>
            </w:tblGrid>
            <w:tr w:rsidR="00A71A9E" w:rsidRPr="00A71A9E">
              <w:trPr>
                <w:trHeight w:val="1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273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3"/>
                    <w:gridCol w:w="2157"/>
                  </w:tblGrid>
                  <w:tr w:rsidR="00A71A9E" w:rsidRPr="00A71A9E">
                    <w:trPr>
                      <w:jc w:val="center"/>
                    </w:trPr>
                    <w:tc>
                      <w:tcPr>
                        <w:tcW w:w="5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A71A9E" w:rsidRPr="00A71A9E" w:rsidRDefault="00A71A9E" w:rsidP="00A71A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</w:pPr>
                        <w:r w:rsidRPr="00A71A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  <w:t>Заказчик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A71A9E" w:rsidRPr="00A71A9E" w:rsidRDefault="00A71A9E" w:rsidP="00A71A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</w:pPr>
                        <w:r w:rsidRPr="00A71A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1"/>
                            <w:szCs w:val="11"/>
                            <w:lang w:eastAsia="ru-RU"/>
                          </w:rPr>
                          <w:t>Количество (объем работы, услуги)</w:t>
                        </w:r>
                      </w:p>
                    </w:tc>
                  </w:tr>
                </w:tbl>
                <w:p w:rsidR="00A71A9E" w:rsidRPr="00A71A9E" w:rsidRDefault="00A71A9E" w:rsidP="00A71A9E">
                  <w:pPr>
                    <w:spacing w:after="0" w:line="11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11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Стоимость позиции</w:t>
                  </w:r>
                </w:p>
              </w:tc>
            </w:tr>
            <w:tr w:rsidR="00A71A9E" w:rsidRPr="00A71A9E">
              <w:trPr>
                <w:trHeight w:val="1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Услуга по регулярным перевозкам пассажиров автобусом</w:t>
                  </w: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br/>
                    <w:t>Идентификатор: 172014788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49.31.21.110-00000055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proofErr w:type="spellStart"/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Километр;^тысяча</w:t>
                  </w:r>
                  <w:proofErr w:type="spellEnd"/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метров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11.15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273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0"/>
                    <w:gridCol w:w="1530"/>
                  </w:tblGrid>
                  <w:tr w:rsidR="00A71A9E" w:rsidRPr="00A71A9E">
                    <w:tc>
                      <w:tcPr>
                        <w:tcW w:w="5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A71A9E" w:rsidRPr="00A71A9E" w:rsidRDefault="00A71A9E" w:rsidP="00A71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</w:pPr>
                        <w:r w:rsidRPr="00A71A9E"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54" w:type="dxa"/>
                          <w:left w:w="54" w:type="dxa"/>
                          <w:bottom w:w="54" w:type="dxa"/>
                          <w:right w:w="54" w:type="dxa"/>
                        </w:tcMar>
                        <w:vAlign w:val="center"/>
                        <w:hideMark/>
                      </w:tcPr>
                      <w:p w:rsidR="00A71A9E" w:rsidRPr="00A71A9E" w:rsidRDefault="00A71A9E" w:rsidP="00A71A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</w:pPr>
                        <w:r w:rsidRPr="00A71A9E"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eastAsia="ru-RU"/>
                          </w:rPr>
                          <w:t>143456.8</w:t>
                        </w:r>
                      </w:p>
                    </w:tc>
                  </w:tr>
                </w:tbl>
                <w:p w:rsidR="00A71A9E" w:rsidRPr="00A71A9E" w:rsidRDefault="00A71A9E" w:rsidP="00A71A9E">
                  <w:pPr>
                    <w:spacing w:after="0" w:line="11" w:lineRule="atLeast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11" w:lineRule="atLeast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1599543.32</w:t>
                  </w:r>
                </w:p>
              </w:tc>
            </w:tr>
          </w:tbl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77"/>
              <w:gridCol w:w="1818"/>
              <w:gridCol w:w="4265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A71A9E" w:rsidRPr="00A71A9E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 xml:space="preserve">Характеристики товара, работы, услуги </w:t>
                  </w:r>
                  <w:proofErr w:type="gramStart"/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 xml:space="preserve">( </w:t>
                  </w:r>
                  <w:proofErr w:type="gramEnd"/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Услуга по регулярным перевозкам пассажиров автобусом )</w:t>
                  </w: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b/>
                      <w:bCs/>
                      <w:sz w:val="11"/>
                      <w:szCs w:val="11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Тип маршрута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Муниципальный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Класс транспортного средства (Федеральный закон от 13.07.2015 N 220-ФЗ)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Малый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Класс транспортного средства (в рамках категорий М2, М3 </w:t>
                  </w:r>
                  <w:proofErr w:type="gramStart"/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ТР</w:t>
                  </w:r>
                  <w:proofErr w:type="gramEnd"/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ТС 018/2011)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Оснащенность аппаратурой спутниковой навигации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Обеспечение перевоза багажа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Наличие форменной одежды персонала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Наличие в салоне системы кондиционирования воздуха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Наличие в салоне системы автоматизированного контроля оплаты проезда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Наличие в салоне программно-технических комплексов видеонаблюдения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71A9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tbl>
            <w:tblPr>
              <w:tblW w:w="113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27"/>
            </w:tblGrid>
            <w:tr w:rsidR="00A71A9E" w:rsidRPr="00A71A9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A71A9E" w:rsidRPr="00A71A9E" w:rsidRDefault="00A71A9E" w:rsidP="00A71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</w:tr>
      <w:tr w:rsidR="00A71A9E" w:rsidRPr="00A71A9E" w:rsidTr="00A71A9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jc w:val="right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Итого: 1599543.32 РОССИЙСКИЙ РУБЛЬ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Преимущество в соответствии с 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ч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. 3 ст. 30 Закона № 44-ФЗ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1 Единые требования к участникам закупок в соответствии с 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ч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. 1 ст. 31 Закона № 44-ФЗ</w:t>
            </w:r>
          </w:p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2 Требования к участникам закупок в соответствии с 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ч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. 1.1 ст. 31 Закона № 44-ФЗ</w:t>
            </w:r>
          </w:p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3 Требование к участникам закупок в соответствии с п. 1 ч. 1 ст. 31 Закона № 44-ФЗ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копия лицензии на осуществление деятельности по перевозкам пассажиров и иных лиц автобусами (п. 24 ст. 12 Федерального закона от 4 мая 2011 г. N 99-ФЗ "О лицензировании отдельных видов деятельности")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A9E" w:rsidRPr="00A71A9E" w:rsidTr="00A71A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Обоснование начальной (максимальной) цены контракта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Приложение №3 Обоснование начально</w:t>
            </w:r>
            <w:proofErr w:type="gram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й(</w:t>
            </w:r>
            <w:proofErr w:type="gramEnd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максимальной) цены контракта 2025.docx</w:t>
            </w:r>
          </w:p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Проект контракта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Приложение №1 проект муниципального контракта 2025.docx</w:t>
            </w:r>
          </w:p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Описание объекта закупки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 xml:space="preserve">1 Приложение №2 Техническое </w:t>
            </w:r>
            <w:proofErr w:type="spellStart"/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задание.docx</w:t>
            </w:r>
            <w:proofErr w:type="spellEnd"/>
          </w:p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Требования к содержанию, составу заявки на участие в закупке</w:t>
            </w:r>
          </w:p>
          <w:p w:rsidR="00A71A9E" w:rsidRPr="00A71A9E" w:rsidRDefault="00A71A9E" w:rsidP="00A71A9E">
            <w:pPr>
              <w:spacing w:before="161" w:after="161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1 Приложение № 4 Требования к составу заявки № 2025.001130.docx</w:t>
            </w:r>
          </w:p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bdr w:val="none" w:sz="0" w:space="0" w:color="auto" w:frame="1"/>
                <w:lang w:eastAsia="ru-RU"/>
              </w:rPr>
              <w:t>Дополнительная информация и документы</w:t>
            </w:r>
          </w:p>
          <w:p w:rsidR="00A71A9E" w:rsidRPr="00A71A9E" w:rsidRDefault="00A71A9E" w:rsidP="00A71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A71A9E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  <w:t>Документы не прикреплены</w:t>
            </w: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A9E" w:rsidRPr="00A71A9E" w:rsidRDefault="00A71A9E" w:rsidP="00A7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DDA" w:rsidRDefault="00FF4DDA"/>
    <w:sectPr w:rsidR="00FF4DDA" w:rsidSect="00A71A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71A9E"/>
    <w:rsid w:val="00372887"/>
    <w:rsid w:val="00651CF3"/>
    <w:rsid w:val="00A0069B"/>
    <w:rsid w:val="00A71A9E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7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7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A7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7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7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2009</Words>
  <Characters>11453</Characters>
  <Application>Microsoft Office Word</Application>
  <DocSecurity>0</DocSecurity>
  <Lines>95</Lines>
  <Paragraphs>26</Paragraphs>
  <ScaleCrop>false</ScaleCrop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2025-01-20T11:37:00Z</cp:lastPrinted>
  <dcterms:created xsi:type="dcterms:W3CDTF">2025-02-13T05:16:00Z</dcterms:created>
  <dcterms:modified xsi:type="dcterms:W3CDTF">2025-02-13T05:16:00Z</dcterms:modified>
</cp:coreProperties>
</file>