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FA" w:rsidRPr="00577BFA" w:rsidRDefault="00577BFA" w:rsidP="00577B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Правительство продлило на 12 месяцев сроки уплаты взносов:</w:t>
      </w:r>
    </w:p>
    <w:p w:rsidR="00577BFA" w:rsidRPr="00577BFA" w:rsidRDefault="00577BFA" w:rsidP="00577BF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b/>
          <w:bCs/>
          <w:color w:val="0E0E0E"/>
          <w:sz w:val="26"/>
          <w:szCs w:val="26"/>
          <w:bdr w:val="none" w:sz="0" w:space="0" w:color="auto" w:frame="1"/>
          <w:lang w:eastAsia="ru-RU"/>
        </w:rPr>
        <w:t>за апрель – июнь 2022 года</w:t>
      </w:r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– для </w:t>
      </w:r>
      <w:hyperlink r:id="rId5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организаций и ИП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, основной вид деятельности которых упомянут в перечне правительства (</w:t>
      </w:r>
      <w:hyperlink r:id="rId6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приложение N 1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к постановлению). Речь идет более чем о 70 отраслях, среди которых производство </w:t>
      </w:r>
      <w:hyperlink r:id="rId7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пищевых продуктов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и </w:t>
      </w:r>
      <w:hyperlink r:id="rId8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напитков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, </w:t>
      </w:r>
      <w:hyperlink r:id="rId9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строительство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зданий, </w:t>
      </w:r>
      <w:hyperlink r:id="rId10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предоставление мест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временного проживания, </w:t>
      </w:r>
      <w:hyperlink r:id="rId11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аренда и лизинг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и др. ИП, которые подпадают под этот критерий, также могут позже перечислить взносы за 2021 год с дохода свыше 300 тыс. руб.;</w:t>
      </w:r>
    </w:p>
    <w:p w:rsidR="00577BFA" w:rsidRPr="00577BFA" w:rsidRDefault="00577BFA" w:rsidP="00577BF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b/>
          <w:bCs/>
          <w:color w:val="0E0E0E"/>
          <w:sz w:val="26"/>
          <w:szCs w:val="26"/>
          <w:bdr w:val="none" w:sz="0" w:space="0" w:color="auto" w:frame="1"/>
          <w:lang w:eastAsia="ru-RU"/>
        </w:rPr>
        <w:t>за июль - сентябрь 2022 года</w:t>
      </w:r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– для </w:t>
      </w:r>
      <w:hyperlink r:id="rId12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компаний и предпринимателей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, у которых основной вид деятельности есть в другом списке (</w:t>
      </w:r>
      <w:hyperlink r:id="rId13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приложение N 2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к постановлению). Это затрагивает страхователей более чем 30 отраслей, которые относятся к производству, строительству, транспорту, телекоммуникациям и др.</w:t>
      </w:r>
    </w:p>
    <w:p w:rsidR="00577BFA" w:rsidRPr="00577BFA" w:rsidRDefault="00577BFA" w:rsidP="00577BF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Основной вид деятельности </w:t>
      </w:r>
      <w:hyperlink r:id="rId14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нужно определять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по ЕГРЮЛ или ЕГРИП по состоянию на 1 апреля 2022 года.</w:t>
      </w:r>
    </w:p>
    <w:p w:rsidR="00577BFA" w:rsidRPr="00577BFA" w:rsidRDefault="00577BFA" w:rsidP="00577BF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Обращаем внимание, что перенос сроков </w:t>
      </w:r>
      <w:hyperlink r:id="rId15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не касается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</w:t>
      </w:r>
      <w:proofErr w:type="spellStart"/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юрлиц</w:t>
      </w:r>
      <w:proofErr w:type="spellEnd"/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 определенных организационно-правовых форм: государственных и муниципальных учреждений, унитарных и казенных предприятий, публично-правовых компаний, </w:t>
      </w:r>
      <w:proofErr w:type="spellStart"/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госкорпораций</w:t>
      </w:r>
      <w:proofErr w:type="spellEnd"/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 и др. Перечень таких исключений привели в </w:t>
      </w:r>
      <w:hyperlink r:id="rId16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приложении N 3</w:t>
        </w:r>
      </w:hyperlink>
      <w:r w:rsidRPr="00577BFA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к постановлению.</w:t>
      </w:r>
    </w:p>
    <w:p w:rsidR="00577BFA" w:rsidRPr="00577BFA" w:rsidRDefault="00577BFA" w:rsidP="00577BFA">
      <w:pPr>
        <w:shd w:val="clear" w:color="auto" w:fill="F4F4F7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77B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</w:t>
      </w:r>
    </w:p>
    <w:p w:rsidR="00577BFA" w:rsidRPr="00577BFA" w:rsidRDefault="00577BFA" w:rsidP="00577BF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7" w:history="1">
        <w:r w:rsidRPr="00577BFA">
          <w:rPr>
            <w:rFonts w:ascii="Arial" w:eastAsia="Times New Roman" w:hAnsi="Arial" w:cs="Arial"/>
            <w:color w:val="1A0DAB"/>
            <w:sz w:val="26"/>
            <w:szCs w:val="26"/>
            <w:u w:val="single"/>
            <w:bdr w:val="none" w:sz="0" w:space="0" w:color="auto" w:frame="1"/>
            <w:lang w:eastAsia="ru-RU"/>
          </w:rPr>
          <w:t>Постановление Правительства РФ от 29.04.2022 N 776</w:t>
        </w:r>
      </w:hyperlink>
    </w:p>
    <w:p w:rsidR="002F0716" w:rsidRDefault="00577BFA" w:rsidP="00577BFA">
      <w:r w:rsidRPr="00577B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B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8" w:history="1">
        <w:r w:rsidRPr="00577BFA">
          <w:rPr>
            <w:rFonts w:ascii="Arial" w:eastAsia="Times New Roman" w:hAnsi="Arial" w:cs="Arial"/>
            <w:color w:val="413A61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ru-RU"/>
          </w:rPr>
          <w:t>Некоторые компании и ИП могут заплатить взносы за II и III кварталы позже</w:t>
        </w:r>
      </w:hyperlink>
      <w:r w:rsidRPr="00577B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BF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© </w:t>
      </w:r>
      <w:proofErr w:type="spellStart"/>
      <w:r w:rsidRPr="00577BF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КонсультантПлюс</w:t>
      </w:r>
      <w:proofErr w:type="spellEnd"/>
      <w:r w:rsidRPr="00577BF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1997-2022</w:t>
      </w:r>
      <w:bookmarkStart w:id="0" w:name="_GoBack"/>
      <w:bookmarkEnd w:id="0"/>
    </w:p>
    <w:sectPr w:rsidR="002F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947"/>
    <w:multiLevelType w:val="multilevel"/>
    <w:tmpl w:val="E94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5B"/>
    <w:rsid w:val="002F0716"/>
    <w:rsid w:val="00577BFA"/>
    <w:rsid w:val="006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5E09-5E52-410C-9611-A0C6F9DD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118&amp;dst=101021&amp;demo=1" TargetMode="External"/><Relationship Id="rId13" Type="http://schemas.openxmlformats.org/officeDocument/2006/relationships/hyperlink" Target="https://login.consultant.ru/link/?req=doc&amp;base=law&amp;n=416119&amp;dst=100172&amp;demo=1" TargetMode="External"/><Relationship Id="rId18" Type="http://schemas.openxmlformats.org/officeDocument/2006/relationships/hyperlink" Target="http://www.consultant.ru/legalnews/191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2118&amp;dst=100714&amp;demo=1" TargetMode="External"/><Relationship Id="rId12" Type="http://schemas.openxmlformats.org/officeDocument/2006/relationships/hyperlink" Target="https://login.consultant.ru/link/?req=doc&amp;base=law&amp;n=416119&amp;dst=100006&amp;demo=1" TargetMode="External"/><Relationship Id="rId17" Type="http://schemas.openxmlformats.org/officeDocument/2006/relationships/hyperlink" Target="https://login.consultant.ru/link/?req=doc&amp;base=law&amp;n=416119&amp;dst=0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6119&amp;dst=100254&amp;demo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119&amp;dst=100012&amp;demo=1" TargetMode="External"/><Relationship Id="rId11" Type="http://schemas.openxmlformats.org/officeDocument/2006/relationships/hyperlink" Target="https://login.consultant.ru/link/?req=doc&amp;base=law&amp;n=412118&amp;dst=105030&amp;demo=1" TargetMode="External"/><Relationship Id="rId5" Type="http://schemas.openxmlformats.org/officeDocument/2006/relationships/hyperlink" Target="https://login.consultant.ru/link/?req=doc&amp;base=law&amp;n=416119&amp;dst=100005&amp;demo=1" TargetMode="External"/><Relationship Id="rId15" Type="http://schemas.openxmlformats.org/officeDocument/2006/relationships/hyperlink" Target="https://login.consultant.ru/link/?req=doc&amp;base=law&amp;n=416119&amp;dst=100007&amp;demo=1" TargetMode="External"/><Relationship Id="rId10" Type="http://schemas.openxmlformats.org/officeDocument/2006/relationships/hyperlink" Target="https://login.consultant.ru/link/?req=doc&amp;base=law&amp;n=412118&amp;dst=104307&amp;demo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2118&amp;dst=102895&amp;demo=1" TargetMode="External"/><Relationship Id="rId14" Type="http://schemas.openxmlformats.org/officeDocument/2006/relationships/hyperlink" Target="https://login.consultant.ru/link/?req=doc&amp;base=law&amp;n=416119&amp;dst=100008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2022-05-05T11:38:00Z</dcterms:created>
  <dcterms:modified xsi:type="dcterms:W3CDTF">2022-05-05T11:38:00Z</dcterms:modified>
</cp:coreProperties>
</file>